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27B3" w14:textId="77777777" w:rsidR="00D32C30" w:rsidRDefault="00D32C30" w:rsidP="00D32C30">
      <w:pPr>
        <w:spacing w:after="225" w:line="270" w:lineRule="atLeast"/>
        <w:textAlignment w:val="baseline"/>
        <w:rPr>
          <w:rFonts w:eastAsia="Times New Roman" w:cs="Times New Roman"/>
          <w:b/>
          <w:sz w:val="28"/>
          <w:szCs w:val="28"/>
          <w:lang w:eastAsia="fi-FI"/>
        </w:rPr>
      </w:pPr>
    </w:p>
    <w:p w14:paraId="4D9F587D" w14:textId="2174CA9A" w:rsidR="00D32C30" w:rsidRDefault="00D32C30" w:rsidP="00D32C30">
      <w:pPr>
        <w:spacing w:after="225" w:line="270" w:lineRule="atLeast"/>
        <w:textAlignment w:val="baseline"/>
        <w:rPr>
          <w:rFonts w:eastAsia="Times New Roman" w:cs="Times New Roman"/>
          <w:b/>
          <w:sz w:val="28"/>
          <w:szCs w:val="28"/>
          <w:lang w:eastAsia="fi-FI"/>
        </w:rPr>
      </w:pPr>
      <w:r>
        <w:rPr>
          <w:rFonts w:eastAsia="Times New Roman" w:cs="Times New Roman"/>
          <w:b/>
          <w:sz w:val="28"/>
          <w:szCs w:val="28"/>
          <w:lang w:eastAsia="fi-FI"/>
        </w:rPr>
        <w:t>Milloin kliininen ilmoitus syövästä?</w:t>
      </w:r>
    </w:p>
    <w:p w14:paraId="624FFA33" w14:textId="77777777" w:rsidR="00D32C30" w:rsidRDefault="00D32C30" w:rsidP="00D32C30">
      <w:pPr>
        <w:spacing w:after="225" w:line="270" w:lineRule="atLeast"/>
        <w:textAlignment w:val="baseline"/>
        <w:rPr>
          <w:rFonts w:eastAsia="Times New Roman" w:cs="Times New Roman"/>
          <w:b/>
          <w:sz w:val="28"/>
          <w:szCs w:val="28"/>
          <w:lang w:eastAsia="fi-FI"/>
        </w:rPr>
      </w:pPr>
    </w:p>
    <w:p w14:paraId="376B5EA5" w14:textId="523B725E" w:rsidR="00D32C30" w:rsidRPr="00D32C30" w:rsidRDefault="00D32C30" w:rsidP="00D32C30">
      <w:pPr>
        <w:spacing w:after="225" w:line="270" w:lineRule="atLeast"/>
        <w:textAlignment w:val="baseline"/>
        <w:rPr>
          <w:rFonts w:eastAsia="Times New Roman" w:cs="Times New Roman"/>
          <w:bCs/>
          <w:lang w:eastAsia="fi-FI"/>
        </w:rPr>
      </w:pPr>
      <w:r w:rsidRPr="00D32C30">
        <w:rPr>
          <w:rFonts w:eastAsia="Times New Roman" w:cs="Times New Roman"/>
          <w:bCs/>
          <w:lang w:eastAsia="fi-FI"/>
        </w:rPr>
        <w:t>Syöpärekisteriin tehdään kliininen syöpäilmoitus kaikista potilaista, joilla on todettu pahanlaatuinen kasvain tai siihen verrattavissa oleva sairaus tai joilla on sellaista vahvasti epäilty.</w:t>
      </w:r>
    </w:p>
    <w:p w14:paraId="73565658" w14:textId="4E113CFB" w:rsidR="00D32C30" w:rsidRPr="00041718" w:rsidRDefault="00D32C30" w:rsidP="00D32C30">
      <w:pPr>
        <w:spacing w:after="160" w:line="259" w:lineRule="auto"/>
      </w:pPr>
      <w:r>
        <w:t>Kaikki uudet syöpätapaukset ja tietyt muut kasvaimet ja niiden kaltaiset tilat ilmoitetaan Syöpärekisteriin. Ilmoitettavia diagnooseja ovat kaikki</w:t>
      </w:r>
      <w:r w:rsidRPr="007E106B">
        <w:t xml:space="preserve"> C-alkuiset koodit, D00-09, D32-33, D37-D48 </w:t>
      </w:r>
      <w:r>
        <w:t xml:space="preserve">ja </w:t>
      </w:r>
      <w:r w:rsidRPr="007E106B">
        <w:t>D76</w:t>
      </w:r>
      <w:r w:rsidR="001C7C83">
        <w:t>.0</w:t>
      </w:r>
      <w:r>
        <w:t xml:space="preserve"> (</w:t>
      </w:r>
      <w:r w:rsidRPr="005D30E9">
        <w:rPr>
          <w:i/>
        </w:rPr>
        <w:t xml:space="preserve">THL </w:t>
      </w:r>
      <w:r>
        <w:rPr>
          <w:i/>
        </w:rPr>
        <w:t xml:space="preserve">- </w:t>
      </w:r>
      <w:r w:rsidRPr="005D30E9">
        <w:rPr>
          <w:i/>
        </w:rPr>
        <w:t>Tautiluokitus ICD-10</w:t>
      </w:r>
      <w:r>
        <w:t xml:space="preserve">). </w:t>
      </w:r>
    </w:p>
    <w:p w14:paraId="61CE0FC8" w14:textId="77777777" w:rsidR="00EE0F78" w:rsidRDefault="00EE0F78" w:rsidP="00EE0F78"/>
    <w:p w14:paraId="5C00D620" w14:textId="77777777" w:rsidR="00EE0F78" w:rsidRPr="005469C4" w:rsidRDefault="00EE0F78" w:rsidP="00EE0F78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232726"/>
          <w:lang w:eastAsia="zh-CN"/>
        </w:rPr>
      </w:pPr>
      <w:r w:rsidRPr="005469C4">
        <w:rPr>
          <w:rFonts w:eastAsia="Times New Roman" w:cstheme="minorHAnsi"/>
          <w:color w:val="232726"/>
          <w:lang w:eastAsia="zh-CN"/>
        </w:rPr>
        <w:t>Syöpärekisteriin ilmoitetaan:</w:t>
      </w:r>
    </w:p>
    <w:p w14:paraId="17D3F23A" w14:textId="48DCECFA" w:rsidR="001C7C83" w:rsidRPr="00601BCD" w:rsidRDefault="001C7C83" w:rsidP="001C7C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32726"/>
          <w:lang w:eastAsia="fi-FI"/>
        </w:rPr>
      </w:pPr>
      <w:bookmarkStart w:id="0" w:name="_Hlk134619968"/>
      <w:r w:rsidRPr="00601BCD">
        <w:rPr>
          <w:rFonts w:eastAsia="Times New Roman" w:cstheme="minorHAnsi"/>
          <w:color w:val="232726"/>
          <w:lang w:eastAsia="fi-FI"/>
        </w:rPr>
        <w:t xml:space="preserve">Kaikki pahanlaatuiset (invasiiviset) kasvaimet ja tilat, mukaan lukien pahanlaatuiset veritaudit.  </w:t>
      </w:r>
      <w:bookmarkStart w:id="1" w:name="_Hlk134620061"/>
      <w:bookmarkEnd w:id="0"/>
      <w:r w:rsidRPr="00601BCD">
        <w:rPr>
          <w:rFonts w:eastAsia="Times New Roman" w:cstheme="minorHAnsi"/>
          <w:color w:val="232726"/>
          <w:lang w:eastAsia="fi-FI"/>
        </w:rPr>
        <w:t>Kliinistä ilmoitusta ei pyydetä tyvisolukarsinoomista.</w:t>
      </w:r>
      <w:bookmarkEnd w:id="1"/>
    </w:p>
    <w:p w14:paraId="184628E2" w14:textId="77777777" w:rsidR="00EE0F78" w:rsidRPr="005469C4" w:rsidRDefault="00EE0F78" w:rsidP="00E562F1">
      <w:pPr>
        <w:pStyle w:val="ListParagraph"/>
        <w:numPr>
          <w:ilvl w:val="0"/>
          <w:numId w:val="2"/>
        </w:numPr>
        <w:rPr>
          <w:lang w:eastAsia="zh-CN"/>
        </w:rPr>
      </w:pPr>
      <w:r w:rsidRPr="005469C4">
        <w:rPr>
          <w:lang w:eastAsia="zh-CN"/>
        </w:rPr>
        <w:t>Kaikki aivojen ja keskushermoston kasvaimet, myös hyvänlaatuiset.</w:t>
      </w:r>
    </w:p>
    <w:p w14:paraId="6DE1F9FD" w14:textId="358BC4FF" w:rsidR="001C7C83" w:rsidRPr="00601BCD" w:rsidRDefault="001C7C83" w:rsidP="001805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32726"/>
          <w:lang w:eastAsia="fi-FI"/>
        </w:rPr>
      </w:pPr>
      <w:bookmarkStart w:id="2" w:name="_Hlk134619998"/>
      <w:r w:rsidRPr="00601BCD">
        <w:rPr>
          <w:rFonts w:eastAsia="Times New Roman" w:cstheme="minorHAnsi"/>
          <w:color w:val="232726"/>
          <w:lang w:val="sv-SE" w:eastAsia="fi-FI"/>
        </w:rPr>
        <w:t xml:space="preserve">In situ </w:t>
      </w:r>
      <w:proofErr w:type="spellStart"/>
      <w:r w:rsidRPr="00601BCD">
        <w:rPr>
          <w:rFonts w:eastAsia="Times New Roman" w:cstheme="minorHAnsi"/>
          <w:color w:val="232726"/>
          <w:lang w:val="sv-SE" w:eastAsia="fi-FI"/>
        </w:rPr>
        <w:t>syövät</w:t>
      </w:r>
      <w:proofErr w:type="spellEnd"/>
      <w:r w:rsidRPr="00601BCD">
        <w:rPr>
          <w:rFonts w:eastAsia="Times New Roman" w:cstheme="minorHAnsi"/>
          <w:color w:val="232726"/>
          <w:lang w:val="sv-SE" w:eastAsia="fi-FI"/>
        </w:rPr>
        <w:t>, HSIL, high-</w:t>
      </w:r>
      <w:proofErr w:type="spellStart"/>
      <w:r w:rsidRPr="00601BCD">
        <w:rPr>
          <w:rFonts w:eastAsia="Times New Roman" w:cstheme="minorHAnsi"/>
          <w:color w:val="232726"/>
          <w:lang w:val="sv-SE" w:eastAsia="fi-FI"/>
        </w:rPr>
        <w:t>grade</w:t>
      </w:r>
      <w:proofErr w:type="spellEnd"/>
      <w:r w:rsidRPr="00601BCD">
        <w:rPr>
          <w:rFonts w:eastAsia="Times New Roman" w:cstheme="minorHAnsi"/>
          <w:color w:val="232726"/>
          <w:lang w:val="sv-SE" w:eastAsia="fi-FI"/>
        </w:rPr>
        <w:t xml:space="preserve"> dysplasia ja dysplasia gravis. </w:t>
      </w:r>
      <w:r w:rsidRPr="00601BCD">
        <w:rPr>
          <w:rFonts w:eastAsia="Times New Roman" w:cstheme="minorHAnsi"/>
          <w:color w:val="232726"/>
          <w:lang w:eastAsia="fi-FI"/>
        </w:rPr>
        <w:t>Ihon in situ -syövistä ilmoitetaan vain melanooma in situ. Kliinistä ilmoitusta ei pyydetä HSIL- tai dysplasiatapauksista.</w:t>
      </w:r>
      <w:bookmarkEnd w:id="2"/>
    </w:p>
    <w:p w14:paraId="16E09810" w14:textId="65D48EDE" w:rsidR="00EE0F78" w:rsidRPr="00601BCD" w:rsidRDefault="00EE0F78" w:rsidP="00444E12">
      <w:pPr>
        <w:pStyle w:val="ListParagraph"/>
        <w:numPr>
          <w:ilvl w:val="0"/>
          <w:numId w:val="2"/>
        </w:numPr>
        <w:rPr>
          <w:rFonts w:cstheme="minorHAnsi"/>
          <w:lang w:eastAsia="zh-CN"/>
        </w:rPr>
      </w:pPr>
      <w:bookmarkStart w:id="3" w:name="_Hlk134620011"/>
      <w:r w:rsidRPr="00601BCD">
        <w:rPr>
          <w:rFonts w:cstheme="minorHAnsi"/>
          <w:lang w:eastAsia="zh-CN"/>
        </w:rPr>
        <w:t>Munasarjojen</w:t>
      </w:r>
      <w:r w:rsidR="0010410B" w:rsidRPr="00601BCD">
        <w:rPr>
          <w:rFonts w:cstheme="minorHAnsi"/>
          <w:lang w:eastAsia="zh-CN"/>
        </w:rPr>
        <w:t>, munanjohtimien, kohdun sivuelinten ja vatsakalvon</w:t>
      </w:r>
      <w:r w:rsidRPr="00601BCD">
        <w:rPr>
          <w:rFonts w:cstheme="minorHAnsi"/>
          <w:lang w:eastAsia="zh-CN"/>
        </w:rPr>
        <w:t xml:space="preserve"> </w:t>
      </w:r>
      <w:proofErr w:type="spellStart"/>
      <w:r w:rsidRPr="00601BCD">
        <w:rPr>
          <w:rFonts w:cstheme="minorHAnsi"/>
          <w:lang w:eastAsia="zh-CN"/>
        </w:rPr>
        <w:t>borderline</w:t>
      </w:r>
      <w:proofErr w:type="spellEnd"/>
      <w:r w:rsidRPr="00601BCD">
        <w:rPr>
          <w:rFonts w:cstheme="minorHAnsi"/>
          <w:lang w:eastAsia="zh-CN"/>
        </w:rPr>
        <w:t>-tasoiset kasvaimet.</w:t>
      </w:r>
    </w:p>
    <w:p w14:paraId="41365123" w14:textId="75ACA053" w:rsidR="00EE0F78" w:rsidRPr="00601BCD" w:rsidRDefault="00EE0F78" w:rsidP="0043124E">
      <w:pPr>
        <w:pStyle w:val="ListParagraph"/>
        <w:numPr>
          <w:ilvl w:val="0"/>
          <w:numId w:val="2"/>
        </w:numPr>
        <w:rPr>
          <w:rFonts w:cstheme="minorHAnsi"/>
          <w:lang w:eastAsia="zh-CN"/>
        </w:rPr>
      </w:pPr>
      <w:bookmarkStart w:id="4" w:name="_Hlk134620024"/>
      <w:bookmarkEnd w:id="3"/>
      <w:r w:rsidRPr="00601BCD">
        <w:rPr>
          <w:rFonts w:cstheme="minorHAnsi"/>
          <w:lang w:eastAsia="zh-CN"/>
        </w:rPr>
        <w:t>Muut pahanlaatuisuudeltaan epäselväksi aiemmin luokitellut kasvaimet kuten neuroendokriiniset kasvaimet, GIST (</w:t>
      </w:r>
      <w:proofErr w:type="spellStart"/>
      <w:r w:rsidRPr="00601BCD">
        <w:rPr>
          <w:rFonts w:cstheme="minorHAnsi"/>
          <w:lang w:eastAsia="zh-CN"/>
        </w:rPr>
        <w:t>graduksesta</w:t>
      </w:r>
      <w:proofErr w:type="spellEnd"/>
      <w:r w:rsidRPr="00601BCD">
        <w:rPr>
          <w:rFonts w:cstheme="minorHAnsi"/>
          <w:lang w:eastAsia="zh-CN"/>
        </w:rPr>
        <w:t xml:space="preserve"> riippumatta), </w:t>
      </w:r>
      <w:proofErr w:type="spellStart"/>
      <w:r w:rsidRPr="00601BCD">
        <w:rPr>
          <w:rFonts w:cstheme="minorHAnsi"/>
          <w:lang w:eastAsia="zh-CN"/>
        </w:rPr>
        <w:t>myelofibroosi</w:t>
      </w:r>
      <w:proofErr w:type="spellEnd"/>
      <w:r w:rsidRPr="00601BCD">
        <w:rPr>
          <w:rFonts w:cstheme="minorHAnsi"/>
          <w:lang w:eastAsia="zh-CN"/>
        </w:rPr>
        <w:t xml:space="preserve">, </w:t>
      </w:r>
      <w:proofErr w:type="spellStart"/>
      <w:r w:rsidRPr="00601BCD">
        <w:rPr>
          <w:rFonts w:cstheme="minorHAnsi"/>
          <w:lang w:eastAsia="zh-CN"/>
        </w:rPr>
        <w:t>myeloproliferatiiviset</w:t>
      </w:r>
      <w:proofErr w:type="spellEnd"/>
      <w:r w:rsidRPr="00601BCD">
        <w:rPr>
          <w:rFonts w:cstheme="minorHAnsi"/>
          <w:lang w:eastAsia="zh-CN"/>
        </w:rPr>
        <w:t xml:space="preserve"> tilat, </w:t>
      </w:r>
      <w:proofErr w:type="spellStart"/>
      <w:r w:rsidRPr="00601BCD">
        <w:rPr>
          <w:rFonts w:cstheme="minorHAnsi"/>
          <w:lang w:eastAsia="zh-CN"/>
        </w:rPr>
        <w:t>polysytemia</w:t>
      </w:r>
      <w:proofErr w:type="spellEnd"/>
      <w:r w:rsidRPr="00601BCD">
        <w:rPr>
          <w:rFonts w:cstheme="minorHAnsi"/>
          <w:lang w:eastAsia="zh-CN"/>
        </w:rPr>
        <w:t xml:space="preserve"> </w:t>
      </w:r>
      <w:proofErr w:type="spellStart"/>
      <w:r w:rsidRPr="00601BCD">
        <w:rPr>
          <w:rFonts w:cstheme="minorHAnsi"/>
          <w:lang w:eastAsia="zh-CN"/>
        </w:rPr>
        <w:t>vera</w:t>
      </w:r>
      <w:proofErr w:type="spellEnd"/>
      <w:r w:rsidRPr="00601BCD">
        <w:rPr>
          <w:rFonts w:cstheme="minorHAnsi"/>
          <w:lang w:eastAsia="zh-CN"/>
        </w:rPr>
        <w:t xml:space="preserve">, </w:t>
      </w:r>
      <w:proofErr w:type="spellStart"/>
      <w:r w:rsidRPr="00601BCD">
        <w:rPr>
          <w:rFonts w:cstheme="minorHAnsi"/>
          <w:lang w:eastAsia="zh-CN"/>
        </w:rPr>
        <w:t>Waldenströmin</w:t>
      </w:r>
      <w:proofErr w:type="spellEnd"/>
      <w:r w:rsidRPr="00601BCD">
        <w:rPr>
          <w:rFonts w:cstheme="minorHAnsi"/>
          <w:lang w:eastAsia="zh-CN"/>
        </w:rPr>
        <w:t xml:space="preserve"> tauti,</w:t>
      </w:r>
      <w:r w:rsidR="000360E0" w:rsidRPr="00601BCD">
        <w:rPr>
          <w:rFonts w:cstheme="minorHAnsi"/>
          <w:lang w:eastAsia="zh-CN"/>
        </w:rPr>
        <w:t xml:space="preserve"> </w:t>
      </w:r>
      <w:proofErr w:type="spellStart"/>
      <w:r w:rsidRPr="00601BCD">
        <w:rPr>
          <w:rFonts w:cstheme="minorHAnsi"/>
          <w:lang w:eastAsia="zh-CN"/>
        </w:rPr>
        <w:t>tymooma</w:t>
      </w:r>
      <w:proofErr w:type="spellEnd"/>
      <w:r w:rsidRPr="00601BCD">
        <w:rPr>
          <w:rFonts w:cstheme="minorHAnsi"/>
          <w:lang w:eastAsia="zh-CN"/>
        </w:rPr>
        <w:t xml:space="preserve">, feokromosytooma ja muut </w:t>
      </w:r>
      <w:proofErr w:type="spellStart"/>
      <w:r w:rsidRPr="00601BCD">
        <w:rPr>
          <w:rFonts w:cstheme="minorHAnsi"/>
          <w:lang w:eastAsia="zh-CN"/>
        </w:rPr>
        <w:t>paraganglioomat</w:t>
      </w:r>
      <w:proofErr w:type="spellEnd"/>
      <w:r w:rsidRPr="00601BCD">
        <w:rPr>
          <w:rFonts w:cstheme="minorHAnsi"/>
          <w:lang w:eastAsia="zh-CN"/>
        </w:rPr>
        <w:t xml:space="preserve"> sekä </w:t>
      </w:r>
      <w:proofErr w:type="spellStart"/>
      <w:r w:rsidRPr="00601BCD">
        <w:rPr>
          <w:rFonts w:cstheme="minorHAnsi"/>
          <w:lang w:eastAsia="zh-CN"/>
        </w:rPr>
        <w:t>teratooma</w:t>
      </w:r>
      <w:proofErr w:type="spellEnd"/>
      <w:r w:rsidRPr="00601BCD">
        <w:rPr>
          <w:rFonts w:cstheme="minorHAnsi"/>
          <w:lang w:eastAsia="zh-CN"/>
        </w:rPr>
        <w:t>.</w:t>
      </w:r>
    </w:p>
    <w:p w14:paraId="5BD395D0" w14:textId="77777777" w:rsidR="00EE0F78" w:rsidRPr="00601BCD" w:rsidRDefault="00EE0F78" w:rsidP="0043124E">
      <w:pPr>
        <w:pStyle w:val="ListParagraph"/>
        <w:numPr>
          <w:ilvl w:val="0"/>
          <w:numId w:val="2"/>
        </w:numPr>
        <w:rPr>
          <w:rFonts w:cstheme="minorHAnsi"/>
          <w:lang w:eastAsia="zh-CN"/>
        </w:rPr>
      </w:pPr>
      <w:r w:rsidRPr="00601BCD">
        <w:rPr>
          <w:rFonts w:cstheme="minorHAnsi"/>
          <w:lang w:eastAsia="zh-CN"/>
        </w:rPr>
        <w:t>Vahva syöpäepäily, vaikka mikroskooppista vahvistusta ei saataisikaan.</w:t>
      </w:r>
    </w:p>
    <w:bookmarkEnd w:id="4"/>
    <w:p w14:paraId="2D22F0F7" w14:textId="7C90F98A" w:rsidR="003C04AD" w:rsidRPr="00601BCD" w:rsidRDefault="003C04AD" w:rsidP="00F11D96">
      <w:pPr>
        <w:rPr>
          <w:rFonts w:cstheme="minorHAnsi"/>
        </w:rPr>
      </w:pPr>
    </w:p>
    <w:p w14:paraId="6AF40126" w14:textId="3E8246B5" w:rsidR="0077188A" w:rsidRDefault="00897D5A" w:rsidP="00EE0F78">
      <w:r>
        <w:t>Kliininen syöpäilmoitus tehdään uudesta syövästä tai kasvaimesta silloin, kun tauti todetaan</w:t>
      </w:r>
      <w:r w:rsidR="001B28D2">
        <w:t>.</w:t>
      </w:r>
      <w:r>
        <w:t xml:space="preserve"> </w:t>
      </w:r>
      <w:r w:rsidR="001B28D2">
        <w:t xml:space="preserve">Ilmoitus lähetetään Syöpärekisteriin, kun tiedot ovat varmistuneet. </w:t>
      </w:r>
      <w:r w:rsidR="00DE21D9">
        <w:t xml:space="preserve">Tarvittaessa tietoja voi muuttaa tai poistaa jälkikäteen. </w:t>
      </w:r>
      <w:r w:rsidR="001B28D2">
        <w:t>Ilmoitus tehdään, jos ei tiedetä</w:t>
      </w:r>
      <w:r w:rsidR="00DE21D9">
        <w:t>,</w:t>
      </w:r>
      <w:r w:rsidR="001B28D2">
        <w:t xml:space="preserve"> onko ilmoitusta vielä tehty. </w:t>
      </w:r>
      <w:r w:rsidR="003C04AD">
        <w:t>Kliinisellä syöpäilmoituksella ilmoitetaan primääri</w:t>
      </w:r>
      <w:r w:rsidR="00A83D45">
        <w:t>tauti</w:t>
      </w:r>
      <w:r w:rsidR="003C04AD">
        <w:t xml:space="preserve"> ja </w:t>
      </w:r>
      <w:r w:rsidR="00370C05">
        <w:t>toteamis</w:t>
      </w:r>
      <w:r w:rsidR="003C04AD">
        <w:t xml:space="preserve">vaiheen levinneisyys. </w:t>
      </w:r>
      <w:r w:rsidR="00535462">
        <w:t>M</w:t>
      </w:r>
      <w:r w:rsidR="00F11D96" w:rsidRPr="00F11D96">
        <w:t>etastaaseja (C77-C79) ei tarvitse ilmoittaa</w:t>
      </w:r>
      <w:r w:rsidR="003C04AD">
        <w:t xml:space="preserve"> erikseen</w:t>
      </w:r>
      <w:r w:rsidR="00F11D96" w:rsidRPr="00F11D96">
        <w:t xml:space="preserve">, jos primäärisyöpä on ilmoitettu. </w:t>
      </w:r>
      <w:r w:rsidR="00535462">
        <w:t xml:space="preserve">Metastaaseista on tärkeää ilmoittaa, minkä primäärisyövän metastaaseista on kyse. </w:t>
      </w:r>
      <w:r w:rsidR="00F11D96" w:rsidRPr="00F11D96">
        <w:t>Mikäli primäärisyöpä ei ole tiedossa, ilmoitetaan C80</w:t>
      </w:r>
      <w:r w:rsidR="00CD0642">
        <w:t xml:space="preserve"> (</w:t>
      </w:r>
      <w:r w:rsidR="00CD0642" w:rsidRPr="00C23984">
        <w:rPr>
          <w:i/>
          <w:iCs/>
        </w:rPr>
        <w:t>THL Tautiluokitus ICD-10</w:t>
      </w:r>
      <w:r w:rsidR="00CD0642">
        <w:t>)</w:t>
      </w:r>
      <w:r w:rsidR="003C04AD">
        <w:t xml:space="preserve">. </w:t>
      </w:r>
    </w:p>
    <w:p w14:paraId="7D2401A3" w14:textId="58A61284" w:rsidR="00554750" w:rsidRDefault="00554750"/>
    <w:sectPr w:rsidR="00554750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6D892" w14:textId="77777777" w:rsidR="007078F0" w:rsidRDefault="007078F0">
      <w:pPr>
        <w:spacing w:after="0" w:line="240" w:lineRule="auto"/>
      </w:pPr>
      <w:r>
        <w:separator/>
      </w:r>
    </w:p>
  </w:endnote>
  <w:endnote w:type="continuationSeparator" w:id="0">
    <w:p w14:paraId="4F037115" w14:textId="77777777" w:rsidR="007078F0" w:rsidRDefault="0070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C35F" w14:textId="77777777" w:rsidR="007078F0" w:rsidRDefault="007078F0">
      <w:pPr>
        <w:spacing w:after="0" w:line="240" w:lineRule="auto"/>
      </w:pPr>
      <w:r>
        <w:separator/>
      </w:r>
    </w:p>
  </w:footnote>
  <w:footnote w:type="continuationSeparator" w:id="0">
    <w:p w14:paraId="69787808" w14:textId="77777777" w:rsidR="007078F0" w:rsidRDefault="0070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9A5A5" w14:textId="0D276596" w:rsidR="00F6258F" w:rsidRDefault="00EE0F78" w:rsidP="009343DC">
    <w:pPr>
      <w:pStyle w:val="Header"/>
    </w:pPr>
    <w:r>
      <w:rPr>
        <w:noProof/>
        <w:lang w:eastAsia="fi-FI"/>
      </w:rPr>
      <w:drawing>
        <wp:inline distT="0" distB="0" distL="0" distR="0" wp14:anchorId="69ACF18D" wp14:editId="2ABBA429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6258F">
      <w:t>1.9</w:t>
    </w:r>
    <w:r w:rsidR="00EA3253">
      <w:t>.2023</w:t>
    </w:r>
  </w:p>
  <w:p w14:paraId="45948408" w14:textId="77777777" w:rsidR="00F6258F" w:rsidRDefault="00F625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38A"/>
    <w:multiLevelType w:val="hybridMultilevel"/>
    <w:tmpl w:val="53F43AB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80695"/>
    <w:multiLevelType w:val="hybridMultilevel"/>
    <w:tmpl w:val="79B8F184"/>
    <w:lvl w:ilvl="0" w:tplc="444A1C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03AA0A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2F6248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564D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A360D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F2A50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FCA78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4108F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2647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35FF28B4"/>
    <w:multiLevelType w:val="multilevel"/>
    <w:tmpl w:val="8A2C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479395">
    <w:abstractNumId w:val="2"/>
  </w:num>
  <w:num w:numId="2" w16cid:durableId="1822844578">
    <w:abstractNumId w:val="0"/>
  </w:num>
  <w:num w:numId="3" w16cid:durableId="115223763">
    <w:abstractNumId w:val="3"/>
  </w:num>
  <w:num w:numId="4" w16cid:durableId="1364209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F78"/>
    <w:rsid w:val="000360E0"/>
    <w:rsid w:val="0010410B"/>
    <w:rsid w:val="0018056C"/>
    <w:rsid w:val="001B28D2"/>
    <w:rsid w:val="001C7C83"/>
    <w:rsid w:val="001E6813"/>
    <w:rsid w:val="00370C05"/>
    <w:rsid w:val="003C04AD"/>
    <w:rsid w:val="003E3B17"/>
    <w:rsid w:val="0043124E"/>
    <w:rsid w:val="004B3A40"/>
    <w:rsid w:val="00535462"/>
    <w:rsid w:val="005469C4"/>
    <w:rsid w:val="00554750"/>
    <w:rsid w:val="00554C2D"/>
    <w:rsid w:val="005D30E9"/>
    <w:rsid w:val="00601BCD"/>
    <w:rsid w:val="006F18A8"/>
    <w:rsid w:val="006F6CE8"/>
    <w:rsid w:val="007078F0"/>
    <w:rsid w:val="0077188A"/>
    <w:rsid w:val="00781087"/>
    <w:rsid w:val="00821D56"/>
    <w:rsid w:val="00897D5A"/>
    <w:rsid w:val="009425CF"/>
    <w:rsid w:val="00A83D45"/>
    <w:rsid w:val="00B24371"/>
    <w:rsid w:val="00C23984"/>
    <w:rsid w:val="00C64C67"/>
    <w:rsid w:val="00CC59EC"/>
    <w:rsid w:val="00CD0642"/>
    <w:rsid w:val="00D32C30"/>
    <w:rsid w:val="00DE21D9"/>
    <w:rsid w:val="00E133A0"/>
    <w:rsid w:val="00E767DF"/>
    <w:rsid w:val="00EA3253"/>
    <w:rsid w:val="00EB069C"/>
    <w:rsid w:val="00EE0F78"/>
    <w:rsid w:val="00F11D96"/>
    <w:rsid w:val="00F202EE"/>
    <w:rsid w:val="00F6258F"/>
    <w:rsid w:val="00F668F5"/>
    <w:rsid w:val="00F85EDD"/>
    <w:rsid w:val="00FC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4E70"/>
  <w15:chartTrackingRefBased/>
  <w15:docId w15:val="{B29E1A19-2DFD-4953-A3EC-50CF981B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F78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F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F78"/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E0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13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3A0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43124E"/>
    <w:pPr>
      <w:ind w:left="720"/>
      <w:contextualSpacing/>
    </w:pPr>
  </w:style>
  <w:style w:type="paragraph" w:styleId="Revision">
    <w:name w:val="Revision"/>
    <w:hidden/>
    <w:uiPriority w:val="99"/>
    <w:semiHidden/>
    <w:rsid w:val="00821D56"/>
    <w:pPr>
      <w:spacing w:after="0" w:line="240" w:lineRule="auto"/>
    </w:pPr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C04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04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04AD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4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4AD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9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9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3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Suomen Syopayhdistys ry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 Degerlund</dc:creator>
  <cp:keywords/>
  <dc:description/>
  <cp:lastModifiedBy>Katja Lehtinen</cp:lastModifiedBy>
  <cp:revision>12</cp:revision>
  <dcterms:created xsi:type="dcterms:W3CDTF">2023-04-24T10:54:00Z</dcterms:created>
  <dcterms:modified xsi:type="dcterms:W3CDTF">2023-09-01T08:32:00Z</dcterms:modified>
</cp:coreProperties>
</file>