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F4091" w14:textId="17ED3036" w:rsidR="008F7DE4" w:rsidRPr="00BE3533" w:rsidRDefault="002D299E" w:rsidP="002D299E">
      <w:pPr>
        <w:pStyle w:val="Title"/>
        <w:rPr>
          <w:lang w:val="en-GB"/>
        </w:rPr>
      </w:pPr>
      <w:r w:rsidRPr="00BE3533">
        <w:rPr>
          <w:color w:val="auto"/>
          <w:lang w:val="en-GB"/>
        </w:rPr>
        <w:t>Implementation guidelines for clinical cancer notifications</w:t>
      </w:r>
    </w:p>
    <w:p w14:paraId="5ACCBFD5" w14:textId="3CC700C3" w:rsidR="008F7DE4" w:rsidRPr="00BE3533" w:rsidRDefault="002D299E" w:rsidP="002D299E">
      <w:pPr>
        <w:pStyle w:val="Heading2"/>
        <w:rPr>
          <w:lang w:val="en-GB"/>
        </w:rPr>
      </w:pPr>
      <w:r w:rsidRPr="00BE3533">
        <w:rPr>
          <w:color w:val="auto"/>
          <w:lang w:val="en-GB"/>
        </w:rPr>
        <w:t>Data submission interval</w:t>
      </w:r>
    </w:p>
    <w:p w14:paraId="7BE84151" w14:textId="5BFE52F9" w:rsidR="008F7DE4" w:rsidRPr="00BE3533" w:rsidRDefault="002D299E" w:rsidP="002D299E">
      <w:pPr>
        <w:pStyle w:val="ListParagraph"/>
        <w:numPr>
          <w:ilvl w:val="0"/>
          <w:numId w:val="1"/>
        </w:numPr>
        <w:rPr>
          <w:lang w:val="en-GB"/>
        </w:rPr>
      </w:pPr>
      <w:r w:rsidRPr="00BE3533">
        <w:rPr>
          <w:lang w:val="en-GB"/>
        </w:rPr>
        <w:t>The data are sent to the Finnish Cancer Registry at specified intervals.</w:t>
      </w:r>
    </w:p>
    <w:p w14:paraId="181EB2B2" w14:textId="1D8BADD5" w:rsidR="008F7DE4" w:rsidRPr="00BE3533" w:rsidRDefault="002D299E" w:rsidP="002D299E">
      <w:pPr>
        <w:pStyle w:val="ListParagraph"/>
        <w:numPr>
          <w:ilvl w:val="1"/>
          <w:numId w:val="1"/>
        </w:numPr>
        <w:rPr>
          <w:lang w:val="en-GB"/>
        </w:rPr>
      </w:pPr>
      <w:r w:rsidRPr="00BE3533">
        <w:rPr>
          <w:lang w:val="en-GB"/>
        </w:rPr>
        <w:t>Data submission format: encoding = “UTF-8”</w:t>
      </w:r>
    </w:p>
    <w:p w14:paraId="6CBA0A4A" w14:textId="7D9FA536" w:rsidR="008F7DE4" w:rsidRPr="00BE3533" w:rsidRDefault="002D299E" w:rsidP="002D299E">
      <w:pPr>
        <w:pStyle w:val="ListParagraph"/>
        <w:numPr>
          <w:ilvl w:val="1"/>
          <w:numId w:val="1"/>
        </w:numPr>
        <w:rPr>
          <w:lang w:val="en-GB"/>
        </w:rPr>
      </w:pPr>
      <w:r w:rsidRPr="00BE3533">
        <w:rPr>
          <w:lang w:val="en-GB"/>
        </w:rPr>
        <w:t>The data are transferred to the Cancer Registry’s SFTP server in the ‘Import’ subfolder of each data provider’s own folder.</w:t>
      </w:r>
    </w:p>
    <w:p w14:paraId="3829987E" w14:textId="2C32C001" w:rsidR="008F7DE4" w:rsidRPr="00BE3533" w:rsidRDefault="002D299E" w:rsidP="002D299E">
      <w:pPr>
        <w:pStyle w:val="ListParagraph"/>
        <w:numPr>
          <w:ilvl w:val="1"/>
          <w:numId w:val="1"/>
        </w:numPr>
        <w:rPr>
          <w:lang w:val="en-GB"/>
        </w:rPr>
      </w:pPr>
      <w:r w:rsidRPr="00BE3533">
        <w:rPr>
          <w:lang w:val="en-GB"/>
        </w:rPr>
        <w:t>The files are named as follows:</w:t>
      </w:r>
    </w:p>
    <w:p w14:paraId="2ECBEAEC" w14:textId="4718EB90" w:rsidR="00041718" w:rsidRPr="00BE3533" w:rsidRDefault="002D299E" w:rsidP="002D299E">
      <w:pPr>
        <w:pStyle w:val="ListParagraph"/>
        <w:numPr>
          <w:ilvl w:val="2"/>
          <w:numId w:val="1"/>
        </w:numPr>
        <w:rPr>
          <w:lang w:val="en-GB"/>
        </w:rPr>
      </w:pPr>
      <w:r w:rsidRPr="00BE3533">
        <w:rPr>
          <w:lang w:val="en-GB"/>
        </w:rPr>
        <w:t xml:space="preserve">The data provider’s </w:t>
      </w:r>
      <w:r w:rsidRPr="00BE3533">
        <w:rPr>
          <w:i/>
          <w:iCs/>
          <w:lang w:val="en-GB"/>
        </w:rPr>
        <w:t>user ID</w:t>
      </w:r>
      <w:r w:rsidRPr="00BE3533">
        <w:rPr>
          <w:lang w:val="en-GB"/>
        </w:rPr>
        <w:t xml:space="preserve"> for the SFTP server; 3–6 characters (e.g. KBU).</w:t>
      </w:r>
    </w:p>
    <w:p w14:paraId="60002EB5" w14:textId="4A81C3FF" w:rsidR="008F7DE4" w:rsidRPr="00BE3533" w:rsidRDefault="002D299E" w:rsidP="00C142A7">
      <w:pPr>
        <w:pStyle w:val="ListParagraph"/>
        <w:numPr>
          <w:ilvl w:val="2"/>
          <w:numId w:val="1"/>
        </w:numPr>
        <w:rPr>
          <w:lang w:val="en-GB"/>
        </w:rPr>
      </w:pPr>
      <w:r w:rsidRPr="00BE3533">
        <w:rPr>
          <w:lang w:val="en-GB"/>
        </w:rPr>
        <w:t>File content identifier:</w:t>
      </w:r>
      <w:r w:rsidR="008F7DE4" w:rsidRPr="00BE3533">
        <w:rPr>
          <w:lang w:val="en-GB"/>
        </w:rPr>
        <w:t xml:space="preserve"> </w:t>
      </w:r>
      <w:r w:rsidR="00C142A7" w:rsidRPr="00BE3533">
        <w:rPr>
          <w:lang w:val="en-GB"/>
        </w:rPr>
        <w:t>CLI = clinical</w:t>
      </w:r>
    </w:p>
    <w:p w14:paraId="020CC0D5" w14:textId="5DE1A297" w:rsidR="008F7DE4" w:rsidRPr="00BE3533" w:rsidRDefault="00C142A7" w:rsidP="00C142A7">
      <w:pPr>
        <w:pStyle w:val="ListParagraph"/>
        <w:numPr>
          <w:ilvl w:val="2"/>
          <w:numId w:val="1"/>
        </w:numPr>
        <w:rPr>
          <w:lang w:val="en-GB"/>
        </w:rPr>
      </w:pPr>
      <w:r w:rsidRPr="00BE3533">
        <w:rPr>
          <w:lang w:val="en-GB"/>
        </w:rPr>
        <w:t>Four-digit number sequence running consecutively and maintained by the data provider, with leading zeros “0000”</w:t>
      </w:r>
    </w:p>
    <w:p w14:paraId="3E4E4E25" w14:textId="368EAB99" w:rsidR="008F7DE4" w:rsidRPr="00BE3533" w:rsidRDefault="00C142A7" w:rsidP="00C142A7">
      <w:pPr>
        <w:pStyle w:val="ListParagraph"/>
        <w:numPr>
          <w:ilvl w:val="2"/>
          <w:numId w:val="1"/>
        </w:numPr>
        <w:rPr>
          <w:lang w:val="en-GB"/>
        </w:rPr>
      </w:pPr>
      <w:r w:rsidRPr="00BE3533">
        <w:rPr>
          <w:lang w:val="en-GB"/>
        </w:rPr>
        <w:t>file creation time according to ISO 8601 in the format “</w:t>
      </w:r>
      <w:proofErr w:type="spellStart"/>
      <w:r w:rsidRPr="00BE3533">
        <w:rPr>
          <w:lang w:val="en-GB"/>
        </w:rPr>
        <w:t>YYYYYMMDDTHHmmss</w:t>
      </w:r>
      <w:proofErr w:type="spellEnd"/>
      <w:r w:rsidRPr="00BE3533">
        <w:rPr>
          <w:lang w:val="en-GB"/>
        </w:rPr>
        <w:t>”, without time zone designator</w:t>
      </w:r>
    </w:p>
    <w:p w14:paraId="5D18C612" w14:textId="036B6B9F" w:rsidR="008F7DE4" w:rsidRPr="00BE3533" w:rsidRDefault="00C142A7" w:rsidP="00C142A7">
      <w:pPr>
        <w:pStyle w:val="ListParagraph"/>
        <w:numPr>
          <w:ilvl w:val="2"/>
          <w:numId w:val="1"/>
        </w:numPr>
        <w:rPr>
          <w:lang w:val="en-GB"/>
        </w:rPr>
      </w:pPr>
      <w:r w:rsidRPr="00BE3533">
        <w:rPr>
          <w:lang w:val="en-GB"/>
        </w:rPr>
        <w:t>Underscore between previous sections</w:t>
      </w:r>
    </w:p>
    <w:p w14:paraId="1A738F36" w14:textId="088791C3" w:rsidR="008F7DE4" w:rsidRPr="00BE3533" w:rsidRDefault="00C142A7" w:rsidP="00C142A7">
      <w:pPr>
        <w:pStyle w:val="ListParagraph"/>
        <w:numPr>
          <w:ilvl w:val="2"/>
          <w:numId w:val="1"/>
        </w:numPr>
        <w:rPr>
          <w:lang w:val="en-GB"/>
        </w:rPr>
      </w:pPr>
      <w:r w:rsidRPr="00BE3533">
        <w:rPr>
          <w:lang w:val="en-GB"/>
        </w:rPr>
        <w:t>File extension:</w:t>
      </w:r>
      <w:r w:rsidR="008F7DE4" w:rsidRPr="00BE3533">
        <w:rPr>
          <w:lang w:val="en-GB"/>
        </w:rPr>
        <w:t xml:space="preserve"> .</w:t>
      </w:r>
      <w:r w:rsidRPr="00BE3533">
        <w:rPr>
          <w:lang w:val="en-GB"/>
        </w:rPr>
        <w:t>xml</w:t>
      </w:r>
    </w:p>
    <w:p w14:paraId="5E49C8F5" w14:textId="17DCA5DF" w:rsidR="008F7DE4" w:rsidRPr="00BE3533" w:rsidRDefault="00C142A7" w:rsidP="00C142A7">
      <w:pPr>
        <w:pStyle w:val="ListParagraph"/>
        <w:numPr>
          <w:ilvl w:val="2"/>
          <w:numId w:val="1"/>
        </w:numPr>
        <w:rPr>
          <w:lang w:val="en-GB"/>
        </w:rPr>
      </w:pPr>
      <w:r w:rsidRPr="00BE3533">
        <w:rPr>
          <w:lang w:val="en-GB"/>
        </w:rPr>
        <w:t>Example:</w:t>
      </w:r>
      <w:r w:rsidR="008F7DE4" w:rsidRPr="00BE3533">
        <w:rPr>
          <w:lang w:val="en-GB"/>
        </w:rPr>
        <w:t xml:space="preserve"> </w:t>
      </w:r>
      <w:r w:rsidRPr="00BE3533">
        <w:rPr>
          <w:b/>
          <w:lang w:val="en-GB"/>
        </w:rPr>
        <w:t>KBU_CLI_0001_20230201T093028.xml</w:t>
      </w:r>
    </w:p>
    <w:p w14:paraId="05DFF479" w14:textId="13206088" w:rsidR="0038799E" w:rsidRPr="00BE3533" w:rsidRDefault="00C142A7" w:rsidP="00C142A7">
      <w:pPr>
        <w:pStyle w:val="ListParagraph"/>
        <w:numPr>
          <w:ilvl w:val="0"/>
          <w:numId w:val="1"/>
        </w:numPr>
        <w:spacing w:after="0"/>
        <w:rPr>
          <w:lang w:val="en-GB"/>
        </w:rPr>
      </w:pPr>
      <w:r w:rsidRPr="00BE3533">
        <w:rPr>
          <w:lang w:val="en-GB"/>
        </w:rPr>
        <w:t>Submission schedule (see also ‘Data selection from system’ and the 30-day rule):</w:t>
      </w:r>
    </w:p>
    <w:p w14:paraId="7BB28C45" w14:textId="338E0D2C" w:rsidR="0038799E" w:rsidRPr="00BE3533" w:rsidRDefault="0038799E" w:rsidP="0076438D">
      <w:pPr>
        <w:pStyle w:val="ListParagraph"/>
        <w:numPr>
          <w:ilvl w:val="1"/>
          <w:numId w:val="1"/>
        </w:numPr>
        <w:tabs>
          <w:tab w:val="left" w:pos="1985"/>
        </w:tabs>
        <w:rPr>
          <w:lang w:val="en-GB"/>
        </w:rPr>
      </w:pPr>
      <w:r w:rsidRPr="00BE3533">
        <w:rPr>
          <w:lang w:val="en-GB"/>
        </w:rPr>
        <w:t>1</w:t>
      </w:r>
      <w:r w:rsidR="00430EDA">
        <w:rPr>
          <w:lang w:val="en-GB"/>
        </w:rPr>
        <w:t xml:space="preserve"> May:</w:t>
      </w:r>
      <w:r w:rsidRPr="00BE3533">
        <w:rPr>
          <w:lang w:val="en-GB"/>
        </w:rPr>
        <w:t xml:space="preserve"> </w:t>
      </w:r>
      <w:r w:rsidR="00912F69" w:rsidRPr="00BE3533">
        <w:rPr>
          <w:lang w:val="en-GB"/>
        </w:rPr>
        <w:t>1</w:t>
      </w:r>
      <w:r w:rsidR="00430EDA">
        <w:rPr>
          <w:lang w:val="en-GB"/>
        </w:rPr>
        <w:t xml:space="preserve"> Jan</w:t>
      </w:r>
      <w:r w:rsidR="00912F69" w:rsidRPr="00BE3533">
        <w:rPr>
          <w:lang w:val="en-GB"/>
        </w:rPr>
        <w:t>–31</w:t>
      </w:r>
      <w:r w:rsidR="00430EDA">
        <w:rPr>
          <w:lang w:val="en-GB"/>
        </w:rPr>
        <w:t xml:space="preserve"> Mar</w:t>
      </w:r>
    </w:p>
    <w:p w14:paraId="0BBC2A7B" w14:textId="58C7E393" w:rsidR="0038799E" w:rsidRPr="00BE3533" w:rsidRDefault="0038799E" w:rsidP="0076438D">
      <w:pPr>
        <w:pStyle w:val="ListParagraph"/>
        <w:numPr>
          <w:ilvl w:val="1"/>
          <w:numId w:val="1"/>
        </w:numPr>
        <w:tabs>
          <w:tab w:val="left" w:pos="1985"/>
        </w:tabs>
        <w:rPr>
          <w:lang w:val="en-GB"/>
        </w:rPr>
      </w:pPr>
      <w:r w:rsidRPr="00BE3533">
        <w:rPr>
          <w:lang w:val="en-GB"/>
        </w:rPr>
        <w:t>1</w:t>
      </w:r>
      <w:r w:rsidR="00430EDA">
        <w:rPr>
          <w:lang w:val="en-GB"/>
        </w:rPr>
        <w:t xml:space="preserve"> Aug</w:t>
      </w:r>
      <w:r w:rsidRPr="00BE3533">
        <w:rPr>
          <w:lang w:val="en-GB"/>
        </w:rPr>
        <w:t xml:space="preserve">: </w:t>
      </w:r>
      <w:r w:rsidR="00912F69" w:rsidRPr="00BE3533">
        <w:rPr>
          <w:lang w:val="en-GB"/>
        </w:rPr>
        <w:t>1</w:t>
      </w:r>
      <w:r w:rsidR="00430EDA">
        <w:rPr>
          <w:lang w:val="en-GB"/>
        </w:rPr>
        <w:t xml:space="preserve"> Apr</w:t>
      </w:r>
      <w:r w:rsidR="00912F69" w:rsidRPr="00BE3533">
        <w:rPr>
          <w:lang w:val="en-GB"/>
        </w:rPr>
        <w:t>–30</w:t>
      </w:r>
      <w:r w:rsidR="00430EDA">
        <w:rPr>
          <w:lang w:val="en-GB"/>
        </w:rPr>
        <w:t xml:space="preserve"> Jun</w:t>
      </w:r>
    </w:p>
    <w:p w14:paraId="4CB678FD" w14:textId="5AE7A90F" w:rsidR="0038799E" w:rsidRPr="00BE3533" w:rsidRDefault="0038799E" w:rsidP="0076438D">
      <w:pPr>
        <w:pStyle w:val="ListParagraph"/>
        <w:numPr>
          <w:ilvl w:val="1"/>
          <w:numId w:val="1"/>
        </w:numPr>
        <w:tabs>
          <w:tab w:val="left" w:pos="1985"/>
        </w:tabs>
        <w:rPr>
          <w:lang w:val="en-GB"/>
        </w:rPr>
      </w:pPr>
      <w:r w:rsidRPr="00BE3533">
        <w:rPr>
          <w:lang w:val="en-GB"/>
        </w:rPr>
        <w:t>1</w:t>
      </w:r>
      <w:r w:rsidR="00430EDA">
        <w:rPr>
          <w:lang w:val="en-GB"/>
        </w:rPr>
        <w:t xml:space="preserve"> Nov</w:t>
      </w:r>
      <w:r w:rsidRPr="00BE3533">
        <w:rPr>
          <w:lang w:val="en-GB"/>
        </w:rPr>
        <w:t xml:space="preserve">: </w:t>
      </w:r>
      <w:r w:rsidR="00912F69" w:rsidRPr="00BE3533">
        <w:rPr>
          <w:lang w:val="en-GB"/>
        </w:rPr>
        <w:t>1</w:t>
      </w:r>
      <w:r w:rsidR="00430EDA">
        <w:rPr>
          <w:lang w:val="en-GB"/>
        </w:rPr>
        <w:t xml:space="preserve"> Jul</w:t>
      </w:r>
      <w:r w:rsidR="00912F69" w:rsidRPr="00BE3533">
        <w:rPr>
          <w:lang w:val="en-GB"/>
        </w:rPr>
        <w:t>–30</w:t>
      </w:r>
      <w:r w:rsidR="00430EDA">
        <w:rPr>
          <w:lang w:val="en-GB"/>
        </w:rPr>
        <w:t xml:space="preserve"> Sep</w:t>
      </w:r>
    </w:p>
    <w:p w14:paraId="5B7BD961" w14:textId="1FE78973" w:rsidR="0038799E" w:rsidRPr="00BE3533" w:rsidRDefault="0038799E" w:rsidP="00C142A7">
      <w:pPr>
        <w:pStyle w:val="ListParagraph"/>
        <w:numPr>
          <w:ilvl w:val="1"/>
          <w:numId w:val="1"/>
        </w:numPr>
        <w:tabs>
          <w:tab w:val="left" w:pos="1985"/>
        </w:tabs>
        <w:rPr>
          <w:lang w:val="en-GB"/>
        </w:rPr>
      </w:pPr>
      <w:r w:rsidRPr="00BE3533">
        <w:rPr>
          <w:lang w:val="en-GB"/>
        </w:rPr>
        <w:t>1</w:t>
      </w:r>
      <w:r w:rsidR="00430EDA">
        <w:rPr>
          <w:lang w:val="en-GB"/>
        </w:rPr>
        <w:t xml:space="preserve"> Feb</w:t>
      </w:r>
      <w:r w:rsidRPr="00BE3533">
        <w:rPr>
          <w:lang w:val="en-GB"/>
        </w:rPr>
        <w:t>:</w:t>
      </w:r>
      <w:r w:rsidR="00430EDA">
        <w:rPr>
          <w:lang w:val="en-GB"/>
        </w:rPr>
        <w:t xml:space="preserve"> </w:t>
      </w:r>
      <w:r w:rsidR="00912F69" w:rsidRPr="00BE3533">
        <w:rPr>
          <w:lang w:val="en-GB"/>
        </w:rPr>
        <w:t>1</w:t>
      </w:r>
      <w:r w:rsidR="00430EDA">
        <w:rPr>
          <w:lang w:val="en-GB"/>
        </w:rPr>
        <w:t xml:space="preserve"> Oct</w:t>
      </w:r>
      <w:r w:rsidR="00912F69" w:rsidRPr="00BE3533">
        <w:rPr>
          <w:lang w:val="en-GB"/>
        </w:rPr>
        <w:t>–31</w:t>
      </w:r>
      <w:r w:rsidR="00430EDA">
        <w:rPr>
          <w:lang w:val="en-GB"/>
        </w:rPr>
        <w:t xml:space="preserve"> Dec</w:t>
      </w:r>
    </w:p>
    <w:p w14:paraId="4FAF3DA3" w14:textId="692EA284" w:rsidR="008F7DE4" w:rsidRPr="00BE3533" w:rsidRDefault="00C142A7" w:rsidP="00C142A7">
      <w:pPr>
        <w:pStyle w:val="Heading2"/>
        <w:rPr>
          <w:lang w:val="en-GB"/>
        </w:rPr>
      </w:pPr>
      <w:r w:rsidRPr="00BE3533">
        <w:rPr>
          <w:color w:val="auto"/>
          <w:lang w:val="en-GB"/>
        </w:rPr>
        <w:t>Data selection from system</w:t>
      </w:r>
    </w:p>
    <w:p w14:paraId="10DC7FDE" w14:textId="307BDCE6" w:rsidR="00041718" w:rsidRPr="00BE3533" w:rsidRDefault="00C142A7" w:rsidP="00C142A7">
      <w:pPr>
        <w:pStyle w:val="ListParagraph"/>
        <w:numPr>
          <w:ilvl w:val="0"/>
          <w:numId w:val="1"/>
        </w:numPr>
        <w:rPr>
          <w:lang w:val="en-GB"/>
        </w:rPr>
      </w:pPr>
      <w:r w:rsidRPr="00BE3533">
        <w:rPr>
          <w:lang w:val="en-GB"/>
        </w:rPr>
        <w:t>Cases to be selected</w:t>
      </w:r>
    </w:p>
    <w:p w14:paraId="76221F78" w14:textId="288DD6E6" w:rsidR="00041718" w:rsidRPr="00BE3533" w:rsidRDefault="00C142A7" w:rsidP="00C142A7">
      <w:pPr>
        <w:pStyle w:val="ListParagraph"/>
        <w:numPr>
          <w:ilvl w:val="1"/>
          <w:numId w:val="1"/>
        </w:numPr>
        <w:rPr>
          <w:lang w:val="en-GB"/>
        </w:rPr>
      </w:pPr>
      <w:r w:rsidRPr="00BE3533">
        <w:rPr>
          <w:lang w:val="en-GB"/>
        </w:rPr>
        <w:t>All new cancer cases and certain other tumours and tumour-like conditions shall be reported to the Cancer Registry.</w:t>
      </w:r>
    </w:p>
    <w:p w14:paraId="1F9347D1" w14:textId="377A00B6" w:rsidR="007C00D5" w:rsidRPr="00BE3533" w:rsidRDefault="00493513" w:rsidP="00493513">
      <w:pPr>
        <w:pStyle w:val="ListParagraph"/>
        <w:numPr>
          <w:ilvl w:val="1"/>
          <w:numId w:val="1"/>
        </w:numPr>
        <w:rPr>
          <w:lang w:val="en-GB"/>
        </w:rPr>
      </w:pPr>
      <w:r w:rsidRPr="00BE3533">
        <w:rPr>
          <w:lang w:val="en-GB"/>
        </w:rPr>
        <w:t>Specifications for the cases to be selected are given in the attached document “When to make a clinical cancer notification”.</w:t>
      </w:r>
    </w:p>
    <w:p w14:paraId="161E24CC" w14:textId="330527D9" w:rsidR="008F7DE4" w:rsidRPr="00BE3533" w:rsidRDefault="00493513" w:rsidP="00493513">
      <w:pPr>
        <w:pStyle w:val="ListParagraph"/>
        <w:numPr>
          <w:ilvl w:val="0"/>
          <w:numId w:val="1"/>
        </w:numPr>
        <w:rPr>
          <w:lang w:val="en-GB"/>
        </w:rPr>
      </w:pPr>
      <w:r w:rsidRPr="00BE3533">
        <w:rPr>
          <w:lang w:val="en-GB"/>
        </w:rPr>
        <w:t>Select all notifications that have been entered in the system during the period in question.</w:t>
      </w:r>
      <w:r w:rsidR="008F7DE4" w:rsidRPr="00BE3533">
        <w:rPr>
          <w:lang w:val="en-GB"/>
        </w:rPr>
        <w:t xml:space="preserve"> </w:t>
      </w:r>
      <w:r w:rsidRPr="00BE3533">
        <w:rPr>
          <w:lang w:val="en-GB"/>
        </w:rPr>
        <w:t>In order not to leave the data incomplete, the period between the notification date (last editing date) and the date of transmission must be at least one month.</w:t>
      </w:r>
    </w:p>
    <w:p w14:paraId="1D7676A9" w14:textId="2A3336C4" w:rsidR="008F7DE4" w:rsidRPr="00BE3533" w:rsidRDefault="00493513" w:rsidP="00493513">
      <w:pPr>
        <w:pStyle w:val="ListParagraph"/>
        <w:numPr>
          <w:ilvl w:val="1"/>
          <w:numId w:val="1"/>
        </w:numPr>
        <w:rPr>
          <w:lang w:val="en-GB"/>
        </w:rPr>
      </w:pPr>
      <w:r w:rsidRPr="00BE3533">
        <w:rPr>
          <w:lang w:val="en-GB"/>
        </w:rPr>
        <w:t>Select the cases whose data have not been updated for at least 30 days.</w:t>
      </w:r>
    </w:p>
    <w:p w14:paraId="6306B1DF" w14:textId="74AA43CF" w:rsidR="0038799E" w:rsidRPr="00BE3533" w:rsidRDefault="00493513" w:rsidP="00493513">
      <w:pPr>
        <w:pStyle w:val="ListParagraph"/>
        <w:numPr>
          <w:ilvl w:val="2"/>
          <w:numId w:val="1"/>
        </w:numPr>
        <w:rPr>
          <w:lang w:val="en-GB"/>
        </w:rPr>
      </w:pPr>
      <w:r w:rsidRPr="00BE3533">
        <w:rPr>
          <w:lang w:val="en-GB"/>
        </w:rPr>
        <w:t>For example, on 1 May 2022, send as a single file all notifications of new cancer cases with a reporting date between 1 January and 31 March 2022.</w:t>
      </w:r>
    </w:p>
    <w:p w14:paraId="3F871F3A" w14:textId="4BE3F9D7" w:rsidR="008F7DE4" w:rsidRPr="00BE3533" w:rsidRDefault="00493513" w:rsidP="00493513">
      <w:pPr>
        <w:pStyle w:val="Heading2"/>
        <w:rPr>
          <w:lang w:val="en-GB"/>
        </w:rPr>
      </w:pPr>
      <w:r w:rsidRPr="00BE3533">
        <w:rPr>
          <w:color w:val="auto"/>
          <w:lang w:val="en-GB"/>
        </w:rPr>
        <w:t>Functionalities of the data model</w:t>
      </w:r>
    </w:p>
    <w:p w14:paraId="3DC5BA34" w14:textId="552C37A1" w:rsidR="008F7DE4" w:rsidRPr="00BE3533" w:rsidRDefault="00493513" w:rsidP="00493513">
      <w:pPr>
        <w:pStyle w:val="ListParagraph"/>
        <w:numPr>
          <w:ilvl w:val="0"/>
          <w:numId w:val="1"/>
        </w:numPr>
        <w:rPr>
          <w:lang w:val="en-GB"/>
        </w:rPr>
      </w:pPr>
      <w:r w:rsidRPr="00BE3533">
        <w:rPr>
          <w:lang w:val="en-GB"/>
        </w:rPr>
        <w:t>Notifications may be added (new notification), edited and deleted</w:t>
      </w:r>
    </w:p>
    <w:p w14:paraId="65853754" w14:textId="6E68188B" w:rsidR="008F7DE4" w:rsidRPr="00BE3533" w:rsidRDefault="00493513" w:rsidP="00493513">
      <w:pPr>
        <w:pStyle w:val="ListParagraph"/>
        <w:numPr>
          <w:ilvl w:val="1"/>
          <w:numId w:val="1"/>
        </w:numPr>
        <w:rPr>
          <w:lang w:val="en-GB"/>
        </w:rPr>
      </w:pPr>
      <w:r w:rsidRPr="00BE3533">
        <w:rPr>
          <w:u w:val="single"/>
          <w:lang w:val="en-GB"/>
        </w:rPr>
        <w:t>New:</w:t>
      </w:r>
      <w:r w:rsidR="008F7DE4" w:rsidRPr="00BE3533">
        <w:rPr>
          <w:lang w:val="en-GB"/>
        </w:rPr>
        <w:t xml:space="preserve"> </w:t>
      </w:r>
      <w:r w:rsidRPr="00BE3533">
        <w:rPr>
          <w:lang w:val="en-GB"/>
        </w:rPr>
        <w:t>new cancer notification</w:t>
      </w:r>
    </w:p>
    <w:p w14:paraId="42A87492" w14:textId="433382D3" w:rsidR="008F7DE4" w:rsidRPr="00BE3533" w:rsidRDefault="00493513" w:rsidP="00493513">
      <w:pPr>
        <w:pStyle w:val="ListParagraph"/>
        <w:numPr>
          <w:ilvl w:val="1"/>
          <w:numId w:val="1"/>
        </w:numPr>
        <w:rPr>
          <w:lang w:val="en-GB"/>
        </w:rPr>
      </w:pPr>
      <w:r w:rsidRPr="00BE3533">
        <w:rPr>
          <w:u w:val="single"/>
          <w:lang w:val="en-GB"/>
        </w:rPr>
        <w:t>Edit:</w:t>
      </w:r>
      <w:r w:rsidR="008F7DE4" w:rsidRPr="00BE3533">
        <w:rPr>
          <w:lang w:val="en-GB"/>
        </w:rPr>
        <w:t xml:space="preserve"> </w:t>
      </w:r>
      <w:r w:rsidRPr="00BE3533">
        <w:rPr>
          <w:lang w:val="en-GB"/>
        </w:rPr>
        <w:t>a change to a previously sent notification.</w:t>
      </w:r>
      <w:r w:rsidR="00004C86" w:rsidRPr="00BE3533">
        <w:rPr>
          <w:lang w:val="en-GB"/>
        </w:rPr>
        <w:t xml:space="preserve"> </w:t>
      </w:r>
      <w:r w:rsidRPr="00BE3533">
        <w:rPr>
          <w:lang w:val="en-GB"/>
        </w:rPr>
        <w:t>The notification contains a correction to previously sent cancer information.</w:t>
      </w:r>
      <w:r w:rsidR="008F7DE4" w:rsidRPr="00BE3533">
        <w:rPr>
          <w:lang w:val="en-GB"/>
        </w:rPr>
        <w:t xml:space="preserve"> </w:t>
      </w:r>
      <w:r w:rsidRPr="00BE3533">
        <w:rPr>
          <w:lang w:val="en-GB"/>
        </w:rPr>
        <w:t xml:space="preserve">In this case, resubmit </w:t>
      </w:r>
      <w:r w:rsidRPr="00BE3533">
        <w:rPr>
          <w:u w:val="single"/>
          <w:lang w:val="en-GB"/>
        </w:rPr>
        <w:t>the entire notification with the corrected information</w:t>
      </w:r>
      <w:r w:rsidRPr="00BE3533">
        <w:rPr>
          <w:lang w:val="en-GB"/>
        </w:rPr>
        <w:t>.</w:t>
      </w:r>
      <w:r w:rsidR="008F7DE4" w:rsidRPr="00BE3533">
        <w:rPr>
          <w:lang w:val="en-GB"/>
        </w:rPr>
        <w:t xml:space="preserve"> </w:t>
      </w:r>
      <w:r w:rsidRPr="00BE3533">
        <w:rPr>
          <w:lang w:val="en-GB"/>
        </w:rPr>
        <w:t>In practice, this is treated as overwriting.</w:t>
      </w:r>
      <w:r w:rsidR="00C56FBC" w:rsidRPr="00BE3533">
        <w:rPr>
          <w:lang w:val="en-GB"/>
        </w:rPr>
        <w:t xml:space="preserve"> </w:t>
      </w:r>
      <w:r w:rsidRPr="00BE3533">
        <w:rPr>
          <w:lang w:val="en-GB"/>
        </w:rPr>
        <w:t>An edit notification cannot be used to supplement previous submissions; any supplements will be submitted as a new notification.</w:t>
      </w:r>
    </w:p>
    <w:p w14:paraId="538CE3D3" w14:textId="25EFC01C" w:rsidR="008F7DE4" w:rsidRPr="00BE3533" w:rsidRDefault="00493513" w:rsidP="00493513">
      <w:pPr>
        <w:pStyle w:val="ListParagraph"/>
        <w:numPr>
          <w:ilvl w:val="1"/>
          <w:numId w:val="1"/>
        </w:numPr>
        <w:rPr>
          <w:lang w:val="en-GB"/>
        </w:rPr>
      </w:pPr>
      <w:r w:rsidRPr="00BE3533">
        <w:rPr>
          <w:u w:val="single"/>
          <w:lang w:val="en-GB"/>
        </w:rPr>
        <w:lastRenderedPageBreak/>
        <w:t>Deletion:</w:t>
      </w:r>
      <w:r w:rsidR="008F7DE4" w:rsidRPr="00BE3533">
        <w:rPr>
          <w:lang w:val="en-GB"/>
        </w:rPr>
        <w:t xml:space="preserve"> </w:t>
      </w:r>
      <w:r w:rsidRPr="00BE3533">
        <w:rPr>
          <w:lang w:val="en-GB"/>
        </w:rPr>
        <w:t>a deletion of a previously sent notification.</w:t>
      </w:r>
      <w:r w:rsidR="008F7DE4" w:rsidRPr="00BE3533">
        <w:rPr>
          <w:lang w:val="en-GB"/>
        </w:rPr>
        <w:t xml:space="preserve"> </w:t>
      </w:r>
      <w:r w:rsidRPr="00BE3533">
        <w:rPr>
          <w:lang w:val="en-GB"/>
        </w:rPr>
        <w:t>Only used in exceptional circumstances, e.g. entering information for the wrong patient or a completely wrong diagnosis.</w:t>
      </w:r>
      <w:r w:rsidR="00A43856" w:rsidRPr="00BE3533">
        <w:rPr>
          <w:lang w:val="en-GB"/>
        </w:rPr>
        <w:t xml:space="preserve"> </w:t>
      </w:r>
      <w:r w:rsidRPr="00BE3533">
        <w:rPr>
          <w:lang w:val="en-GB"/>
        </w:rPr>
        <w:t>All data in the previously sent notification will be deleted.</w:t>
      </w:r>
    </w:p>
    <w:p w14:paraId="31695E0C" w14:textId="7F442071" w:rsidR="00DF579E" w:rsidRPr="00BE3533" w:rsidRDefault="00493513" w:rsidP="00493513">
      <w:pPr>
        <w:pStyle w:val="ListParagraph"/>
        <w:numPr>
          <w:ilvl w:val="2"/>
          <w:numId w:val="1"/>
        </w:numPr>
        <w:rPr>
          <w:lang w:val="en-GB"/>
        </w:rPr>
      </w:pPr>
      <w:r w:rsidRPr="00BE3533">
        <w:rPr>
          <w:lang w:val="en-GB"/>
        </w:rPr>
        <w:t xml:space="preserve">In the case of a notification of deletion, also fill in the </w:t>
      </w:r>
      <w:proofErr w:type="spellStart"/>
      <w:r w:rsidRPr="00BE3533">
        <w:rPr>
          <w:lang w:val="en-GB"/>
        </w:rPr>
        <w:t>error_code</w:t>
      </w:r>
      <w:proofErr w:type="spellEnd"/>
      <w:r w:rsidRPr="00BE3533">
        <w:rPr>
          <w:lang w:val="en-GB"/>
        </w:rPr>
        <w:t xml:space="preserve"> field.</w:t>
      </w:r>
    </w:p>
    <w:p w14:paraId="5F0CE6DF" w14:textId="0EF5E095" w:rsidR="008F7DE4" w:rsidRPr="00BE3533" w:rsidRDefault="00493513" w:rsidP="00493513">
      <w:pPr>
        <w:pStyle w:val="Heading2"/>
        <w:rPr>
          <w:lang w:val="en-GB"/>
        </w:rPr>
      </w:pPr>
      <w:r w:rsidRPr="00BE3533">
        <w:rPr>
          <w:color w:val="auto"/>
          <w:lang w:val="en-GB"/>
        </w:rPr>
        <w:t>Data structure</w:t>
      </w:r>
    </w:p>
    <w:p w14:paraId="0D01F552" w14:textId="126DD34A" w:rsidR="00640F5E" w:rsidRPr="00BE3533" w:rsidRDefault="00493513" w:rsidP="00493513">
      <w:pPr>
        <w:pStyle w:val="ListParagraph"/>
        <w:numPr>
          <w:ilvl w:val="0"/>
          <w:numId w:val="1"/>
        </w:numPr>
        <w:rPr>
          <w:lang w:val="en-GB"/>
        </w:rPr>
      </w:pPr>
      <w:r w:rsidRPr="00BE3533">
        <w:rPr>
          <w:lang w:val="en-GB"/>
        </w:rPr>
        <w:t>The hierarchy of the data structure follows the following model:</w:t>
      </w:r>
    </w:p>
    <w:p w14:paraId="1F2D0B61" w14:textId="76B0D197" w:rsidR="008F7DE4" w:rsidRPr="00BE3533" w:rsidRDefault="00493513" w:rsidP="00493513">
      <w:pPr>
        <w:pStyle w:val="ListParagraph"/>
        <w:numPr>
          <w:ilvl w:val="0"/>
          <w:numId w:val="2"/>
        </w:numPr>
        <w:rPr>
          <w:lang w:val="en-GB"/>
        </w:rPr>
      </w:pPr>
      <w:r w:rsidRPr="00BE3533">
        <w:rPr>
          <w:lang w:val="en-GB"/>
        </w:rPr>
        <w:t>Heading details</w:t>
      </w:r>
    </w:p>
    <w:p w14:paraId="1E1A51BF" w14:textId="66FCD5C0" w:rsidR="008F7DE4" w:rsidRPr="00BE3533" w:rsidRDefault="00493513" w:rsidP="00493513">
      <w:pPr>
        <w:pStyle w:val="ListParagraph"/>
        <w:numPr>
          <w:ilvl w:val="0"/>
          <w:numId w:val="2"/>
        </w:numPr>
        <w:rPr>
          <w:lang w:val="en-GB"/>
        </w:rPr>
      </w:pPr>
      <w:r w:rsidRPr="00BE3533">
        <w:rPr>
          <w:lang w:val="en-GB"/>
        </w:rPr>
        <w:t>Cancer notification 1–n times</w:t>
      </w:r>
    </w:p>
    <w:p w14:paraId="1BEA266A" w14:textId="1C7A3AA9" w:rsidR="008F7DE4" w:rsidRPr="00BE3533" w:rsidRDefault="00493513" w:rsidP="00493513">
      <w:pPr>
        <w:pStyle w:val="ListParagraph"/>
        <w:numPr>
          <w:ilvl w:val="1"/>
          <w:numId w:val="2"/>
        </w:numPr>
        <w:rPr>
          <w:lang w:val="en-GB"/>
        </w:rPr>
      </w:pPr>
      <w:r w:rsidRPr="00BE3533">
        <w:rPr>
          <w:lang w:val="en-GB"/>
        </w:rPr>
        <w:t>Method of diagnosis 1–15 times</w:t>
      </w:r>
    </w:p>
    <w:p w14:paraId="00D079DE" w14:textId="7F048E24" w:rsidR="008F7DE4" w:rsidRPr="00BE3533" w:rsidRDefault="00493513" w:rsidP="00493513">
      <w:pPr>
        <w:pStyle w:val="Heading2"/>
        <w:rPr>
          <w:lang w:val="en-GB"/>
        </w:rPr>
      </w:pPr>
      <w:r w:rsidRPr="00BE3533">
        <w:rPr>
          <w:color w:val="auto"/>
          <w:lang w:val="en-GB"/>
        </w:rPr>
        <w:t>Code sets used</w:t>
      </w:r>
    </w:p>
    <w:p w14:paraId="58DFE674" w14:textId="0DE1C92D" w:rsidR="00BD5DC1" w:rsidRPr="00BE3533" w:rsidRDefault="00493513" w:rsidP="00493513">
      <w:pPr>
        <w:pStyle w:val="ListParagraph"/>
        <w:numPr>
          <w:ilvl w:val="0"/>
          <w:numId w:val="2"/>
        </w:numPr>
        <w:spacing w:after="200" w:line="276" w:lineRule="auto"/>
        <w:rPr>
          <w:lang w:val="en-GB"/>
        </w:rPr>
      </w:pPr>
      <w:r w:rsidRPr="00BE3533">
        <w:rPr>
          <w:lang w:val="en-GB"/>
        </w:rPr>
        <w:t>The diagnosis of the disease is indicat</w:t>
      </w:r>
      <w:r w:rsidR="00252501">
        <w:rPr>
          <w:lang w:val="en-GB"/>
        </w:rPr>
        <w:t>ed</w:t>
      </w:r>
      <w:r w:rsidRPr="00BE3533">
        <w:rPr>
          <w:lang w:val="en-GB"/>
        </w:rPr>
        <w:t xml:space="preserve"> according to the diagnosis code set </w:t>
      </w:r>
      <w:r w:rsidR="002B06E3" w:rsidRPr="002B06E3">
        <w:rPr>
          <w:i/>
          <w:lang w:val="en-US"/>
        </w:rPr>
        <w:t xml:space="preserve">THL - </w:t>
      </w:r>
      <w:proofErr w:type="spellStart"/>
      <w:r w:rsidR="002B06E3" w:rsidRPr="002B06E3">
        <w:rPr>
          <w:i/>
          <w:lang w:val="en-US"/>
        </w:rPr>
        <w:t>Tautiluokitus</w:t>
      </w:r>
      <w:proofErr w:type="spellEnd"/>
      <w:r w:rsidR="002B06E3" w:rsidRPr="002B06E3">
        <w:rPr>
          <w:i/>
          <w:lang w:val="en-US"/>
        </w:rPr>
        <w:t xml:space="preserve"> ICD-10 </w:t>
      </w:r>
      <w:r w:rsidR="002B06E3">
        <w:rPr>
          <w:i/>
          <w:lang w:val="en-US"/>
        </w:rPr>
        <w:t>(</w:t>
      </w:r>
      <w:r w:rsidRPr="00252501">
        <w:rPr>
          <w:i/>
          <w:iCs/>
          <w:lang w:val="en-GB"/>
        </w:rPr>
        <w:t>THL – classification of diseases</w:t>
      </w:r>
      <w:r w:rsidR="00252501" w:rsidRPr="00252501">
        <w:rPr>
          <w:i/>
          <w:iCs/>
          <w:lang w:val="en-GB"/>
        </w:rPr>
        <w:t xml:space="preserve"> ICD-10</w:t>
      </w:r>
      <w:r w:rsidR="002B06E3">
        <w:rPr>
          <w:i/>
          <w:iCs/>
          <w:lang w:val="en-GB"/>
        </w:rPr>
        <w:t>)</w:t>
      </w:r>
      <w:r w:rsidRPr="00BE3533">
        <w:rPr>
          <w:lang w:val="en-GB"/>
        </w:rPr>
        <w:t>.</w:t>
      </w:r>
    </w:p>
    <w:p w14:paraId="479A74D7" w14:textId="6E7B5E69" w:rsidR="007E779D" w:rsidRPr="00BE3533" w:rsidRDefault="00493513" w:rsidP="00493513">
      <w:pPr>
        <w:pStyle w:val="ListParagraph"/>
        <w:numPr>
          <w:ilvl w:val="0"/>
          <w:numId w:val="2"/>
        </w:numPr>
        <w:spacing w:after="200" w:line="276" w:lineRule="auto"/>
        <w:rPr>
          <w:lang w:val="en-GB"/>
        </w:rPr>
      </w:pPr>
      <w:r w:rsidRPr="00BE3533">
        <w:rPr>
          <w:lang w:val="en-GB"/>
        </w:rPr>
        <w:t xml:space="preserve">The topography and morphology can be indicated according to </w:t>
      </w:r>
      <w:bookmarkStart w:id="0" w:name="_Hlk122102070"/>
      <w:r w:rsidR="002B06E3" w:rsidRPr="002B06E3">
        <w:rPr>
          <w:i/>
          <w:iCs/>
          <w:lang w:val="en-US"/>
        </w:rPr>
        <w:t>SSR-ICD-O-3-Topografiat</w:t>
      </w:r>
      <w:r w:rsidR="002B06E3" w:rsidRPr="002B06E3">
        <w:rPr>
          <w:lang w:val="en-US"/>
        </w:rPr>
        <w:t xml:space="preserve"> </w:t>
      </w:r>
      <w:r w:rsidR="002B06E3">
        <w:rPr>
          <w:lang w:val="en-US"/>
        </w:rPr>
        <w:t>and</w:t>
      </w:r>
      <w:r w:rsidR="002B06E3" w:rsidRPr="002B06E3">
        <w:rPr>
          <w:lang w:val="en-US"/>
        </w:rPr>
        <w:t xml:space="preserve"> </w:t>
      </w:r>
      <w:r w:rsidR="002B06E3" w:rsidRPr="002B06E3">
        <w:rPr>
          <w:i/>
          <w:iCs/>
          <w:lang w:val="en-US"/>
        </w:rPr>
        <w:t>SSR-</w:t>
      </w:r>
      <w:proofErr w:type="spellStart"/>
      <w:r w:rsidR="002B06E3" w:rsidRPr="002B06E3">
        <w:rPr>
          <w:i/>
          <w:iCs/>
          <w:lang w:val="en-US"/>
        </w:rPr>
        <w:t>Morfologia</w:t>
      </w:r>
      <w:bookmarkEnd w:id="0"/>
      <w:proofErr w:type="spellEnd"/>
      <w:r w:rsidR="002B06E3" w:rsidRPr="00BE3533">
        <w:rPr>
          <w:i/>
          <w:iCs/>
          <w:lang w:val="en-GB"/>
        </w:rPr>
        <w:t xml:space="preserve"> </w:t>
      </w:r>
      <w:r w:rsidR="002B06E3">
        <w:rPr>
          <w:i/>
          <w:iCs/>
          <w:lang w:val="en-GB"/>
        </w:rPr>
        <w:t>(</w:t>
      </w:r>
      <w:r w:rsidRPr="00BE3533">
        <w:rPr>
          <w:i/>
          <w:iCs/>
          <w:lang w:val="en-GB"/>
        </w:rPr>
        <w:t>SSR-ICD-O-3 topographies</w:t>
      </w:r>
      <w:r w:rsidRPr="00BE3533">
        <w:rPr>
          <w:lang w:val="en-GB"/>
        </w:rPr>
        <w:t xml:space="preserve"> and </w:t>
      </w:r>
      <w:r w:rsidRPr="00BE3533">
        <w:rPr>
          <w:i/>
          <w:iCs/>
          <w:lang w:val="en-GB"/>
        </w:rPr>
        <w:t>SSR morphology</w:t>
      </w:r>
      <w:r w:rsidR="002B06E3">
        <w:rPr>
          <w:i/>
          <w:iCs/>
          <w:lang w:val="en-GB"/>
        </w:rPr>
        <w:t>)</w:t>
      </w:r>
      <w:r w:rsidRPr="00BE3533">
        <w:rPr>
          <w:i/>
          <w:iCs/>
          <w:lang w:val="en-GB"/>
        </w:rPr>
        <w:t>.</w:t>
      </w:r>
    </w:p>
    <w:p w14:paraId="2098E1CF" w14:textId="421FEA4C" w:rsidR="008F7DE4" w:rsidRPr="00BE3533" w:rsidRDefault="00493513" w:rsidP="009024D9">
      <w:pPr>
        <w:pStyle w:val="ListParagraph"/>
        <w:numPr>
          <w:ilvl w:val="0"/>
          <w:numId w:val="2"/>
        </w:numPr>
        <w:rPr>
          <w:lang w:val="en-GB"/>
        </w:rPr>
      </w:pPr>
      <w:r w:rsidRPr="00BE3533">
        <w:rPr>
          <w:lang w:val="en-GB"/>
        </w:rPr>
        <w:t xml:space="preserve">The PAD (pathological-anatomical diagnosis) is indicated in the text </w:t>
      </w:r>
      <w:r w:rsidR="009024D9" w:rsidRPr="00BE3533">
        <w:rPr>
          <w:lang w:val="en-GB"/>
        </w:rPr>
        <w:t>field</w:t>
      </w:r>
      <w:r w:rsidRPr="00BE3533">
        <w:rPr>
          <w:lang w:val="en-GB"/>
        </w:rPr>
        <w:t>.</w:t>
      </w:r>
      <w:r w:rsidR="008F7DE4" w:rsidRPr="00BE3533">
        <w:rPr>
          <w:lang w:val="en-GB"/>
        </w:rPr>
        <w:t xml:space="preserve"> </w:t>
      </w:r>
      <w:r w:rsidR="009024D9" w:rsidRPr="00BE3533">
        <w:rPr>
          <w:lang w:val="en-GB"/>
        </w:rPr>
        <w:t>If the histology of the tumour is not available, a description of the tumour type is requested (e.g. ocular melanoma/retinoblastoma).</w:t>
      </w:r>
    </w:p>
    <w:p w14:paraId="241B9632" w14:textId="77511498" w:rsidR="00A312DE" w:rsidRPr="00BE3533" w:rsidRDefault="009024D9" w:rsidP="009024D9">
      <w:pPr>
        <w:pStyle w:val="ListParagraph"/>
        <w:numPr>
          <w:ilvl w:val="0"/>
          <w:numId w:val="2"/>
        </w:numPr>
        <w:rPr>
          <w:lang w:val="en-GB"/>
        </w:rPr>
      </w:pPr>
      <w:r w:rsidRPr="00BE3533">
        <w:rPr>
          <w:lang w:val="en-GB"/>
        </w:rPr>
        <w:t xml:space="preserve">The cancer diagnosis or tumour detection method follows international guidelines (see Excel appendix with </w:t>
      </w:r>
      <w:r w:rsidR="00BE3533" w:rsidRPr="00BE3533">
        <w:rPr>
          <w:lang w:val="en-GB"/>
        </w:rPr>
        <w:t>parameters</w:t>
      </w:r>
      <w:r w:rsidR="002B06E3">
        <w:rPr>
          <w:lang w:val="en-GB"/>
        </w:rPr>
        <w:t xml:space="preserve"> “</w:t>
      </w:r>
      <w:proofErr w:type="spellStart"/>
      <w:r w:rsidR="002B06E3" w:rsidRPr="002B06E3">
        <w:rPr>
          <w:lang w:val="en-US"/>
        </w:rPr>
        <w:t>Syopailmoitus</w:t>
      </w:r>
      <w:proofErr w:type="spellEnd"/>
      <w:r w:rsidR="002B06E3" w:rsidRPr="002B06E3">
        <w:rPr>
          <w:lang w:val="en-US"/>
        </w:rPr>
        <w:t xml:space="preserve"> parametristot.xlsx”</w:t>
      </w:r>
      <w:r w:rsidRPr="00BE3533">
        <w:rPr>
          <w:lang w:val="en-GB"/>
        </w:rPr>
        <w:t>).</w:t>
      </w:r>
      <w:r w:rsidR="008F7DE4" w:rsidRPr="00BE3533">
        <w:rPr>
          <w:lang w:val="en-GB"/>
        </w:rPr>
        <w:t xml:space="preserve"> </w:t>
      </w:r>
      <w:r w:rsidRPr="00BE3533">
        <w:rPr>
          <w:lang w:val="en-GB"/>
        </w:rPr>
        <w:t>Several diagnosis methods may be reported.</w:t>
      </w:r>
    </w:p>
    <w:p w14:paraId="515DC764" w14:textId="3FA9224A" w:rsidR="00A312DE" w:rsidRPr="00BE3533" w:rsidRDefault="009024D9" w:rsidP="009024D9">
      <w:pPr>
        <w:pStyle w:val="ListParagraph"/>
        <w:ind w:left="1440"/>
        <w:rPr>
          <w:lang w:val="en-GB"/>
        </w:rPr>
      </w:pPr>
      <w:r w:rsidRPr="00BE3533">
        <w:rPr>
          <w:lang w:val="en-GB"/>
        </w:rPr>
        <w:t>Methods:</w:t>
      </w:r>
      <w:r w:rsidR="0056189F" w:rsidRPr="00BE3533">
        <w:rPr>
          <w:lang w:val="en-GB"/>
        </w:rPr>
        <w:t xml:space="preserve"> </w:t>
      </w:r>
    </w:p>
    <w:p w14:paraId="15B72F42" w14:textId="38AE0963" w:rsidR="00A312DE" w:rsidRPr="00BE3533" w:rsidRDefault="009024D9" w:rsidP="009024D9">
      <w:pPr>
        <w:pStyle w:val="ListParagraph"/>
        <w:ind w:left="2608"/>
        <w:rPr>
          <w:lang w:val="en-GB"/>
        </w:rPr>
      </w:pPr>
      <w:r w:rsidRPr="00BE3533">
        <w:rPr>
          <w:lang w:val="en-GB"/>
        </w:rPr>
        <w:t>1=Clinical, premortem, unconfirmed</w:t>
      </w:r>
    </w:p>
    <w:p w14:paraId="2F9CA7FB" w14:textId="44FFAEB0" w:rsidR="00A312DE" w:rsidRPr="00BE3533" w:rsidRDefault="009024D9" w:rsidP="009024D9">
      <w:pPr>
        <w:pStyle w:val="ListParagraph"/>
        <w:ind w:left="2608"/>
        <w:rPr>
          <w:lang w:val="en-GB"/>
        </w:rPr>
      </w:pPr>
      <w:r w:rsidRPr="00BE3533">
        <w:rPr>
          <w:lang w:val="en-GB"/>
        </w:rPr>
        <w:t>2=Clinical, confirmed X-ray or similar</w:t>
      </w:r>
    </w:p>
    <w:p w14:paraId="27E51A15" w14:textId="0DF90CC0" w:rsidR="00A312DE" w:rsidRPr="00BE3533" w:rsidRDefault="009024D9" w:rsidP="009024D9">
      <w:pPr>
        <w:pStyle w:val="ListParagraph"/>
        <w:ind w:left="2608"/>
        <w:rPr>
          <w:lang w:val="en-GB"/>
        </w:rPr>
      </w:pPr>
      <w:r w:rsidRPr="00BE3533">
        <w:rPr>
          <w:lang w:val="en-GB"/>
        </w:rPr>
        <w:t>4=Specific tumour marker</w:t>
      </w:r>
    </w:p>
    <w:p w14:paraId="1B265F90" w14:textId="6E65A281" w:rsidR="00A312DE" w:rsidRPr="00BE3533" w:rsidRDefault="009024D9" w:rsidP="009024D9">
      <w:pPr>
        <w:pStyle w:val="ListParagraph"/>
        <w:ind w:left="2608"/>
        <w:rPr>
          <w:lang w:val="en-GB"/>
        </w:rPr>
      </w:pPr>
      <w:r w:rsidRPr="00BE3533">
        <w:rPr>
          <w:lang w:val="en-GB"/>
        </w:rPr>
        <w:t>5=Cytology</w:t>
      </w:r>
    </w:p>
    <w:p w14:paraId="2A2CD92D" w14:textId="534339FE" w:rsidR="00A312DE" w:rsidRPr="00BE3533" w:rsidRDefault="009024D9" w:rsidP="009024D9">
      <w:pPr>
        <w:pStyle w:val="ListParagraph"/>
        <w:ind w:left="2608"/>
        <w:rPr>
          <w:lang w:val="en-GB"/>
        </w:rPr>
      </w:pPr>
      <w:r w:rsidRPr="00BE3533">
        <w:rPr>
          <w:lang w:val="en-GB"/>
        </w:rPr>
        <w:t>6=Histology from metastasis</w:t>
      </w:r>
    </w:p>
    <w:p w14:paraId="1594603A" w14:textId="157BF271" w:rsidR="00A312DE" w:rsidRPr="00BE3533" w:rsidRDefault="009024D9" w:rsidP="009024D9">
      <w:pPr>
        <w:pStyle w:val="ListParagraph"/>
        <w:ind w:left="2608"/>
        <w:rPr>
          <w:lang w:val="en-GB"/>
        </w:rPr>
      </w:pPr>
      <w:r w:rsidRPr="00BE3533">
        <w:rPr>
          <w:lang w:val="en-GB"/>
        </w:rPr>
        <w:t>7= Histology from primary tumour</w:t>
      </w:r>
    </w:p>
    <w:p w14:paraId="783C527B" w14:textId="477ED924" w:rsidR="00A312DE" w:rsidRPr="00BE3533" w:rsidRDefault="009024D9" w:rsidP="009024D9">
      <w:pPr>
        <w:pStyle w:val="ListParagraph"/>
        <w:ind w:left="2608"/>
        <w:rPr>
          <w:lang w:val="en-GB"/>
        </w:rPr>
      </w:pPr>
      <w:r w:rsidRPr="00BE3533">
        <w:rPr>
          <w:lang w:val="en-GB"/>
        </w:rPr>
        <w:t>8= Obduction, including histological sample</w:t>
      </w:r>
    </w:p>
    <w:p w14:paraId="3D35287A" w14:textId="50A5AA37" w:rsidR="00A312DE" w:rsidRPr="00BE3533" w:rsidRDefault="009024D9" w:rsidP="009024D9">
      <w:pPr>
        <w:pStyle w:val="ListParagraph"/>
        <w:ind w:left="2608"/>
        <w:rPr>
          <w:lang w:val="en-GB"/>
        </w:rPr>
      </w:pPr>
      <w:r w:rsidRPr="00BE3533">
        <w:rPr>
          <w:lang w:val="en-GB"/>
        </w:rPr>
        <w:t>9=Unknown</w:t>
      </w:r>
    </w:p>
    <w:p w14:paraId="3B5EAA76" w14:textId="0C77A093" w:rsidR="00A312DE" w:rsidRPr="00BE3533" w:rsidRDefault="009024D9" w:rsidP="009024D9">
      <w:pPr>
        <w:pStyle w:val="ListParagraph"/>
        <w:ind w:left="2608"/>
        <w:rPr>
          <w:lang w:val="en-GB"/>
        </w:rPr>
      </w:pPr>
      <w:r w:rsidRPr="00BE3533">
        <w:rPr>
          <w:lang w:val="en-GB"/>
        </w:rPr>
        <w:t>10=Flow cytometry</w:t>
      </w:r>
    </w:p>
    <w:p w14:paraId="39BE380D" w14:textId="17FF0C3A" w:rsidR="00A312DE" w:rsidRPr="00BE3533" w:rsidRDefault="009024D9" w:rsidP="009024D9">
      <w:pPr>
        <w:pStyle w:val="ListParagraph"/>
        <w:ind w:left="2608"/>
        <w:rPr>
          <w:lang w:val="en-GB"/>
        </w:rPr>
      </w:pPr>
      <w:r w:rsidRPr="00BE3533">
        <w:rPr>
          <w:lang w:val="en-GB"/>
        </w:rPr>
        <w:t>12=Molecular genetics</w:t>
      </w:r>
    </w:p>
    <w:p w14:paraId="517913A1" w14:textId="35968FA3" w:rsidR="00A312DE" w:rsidRPr="00BE3533" w:rsidRDefault="009024D9" w:rsidP="009024D9">
      <w:pPr>
        <w:pStyle w:val="ListParagraph"/>
        <w:ind w:left="2608"/>
        <w:rPr>
          <w:lang w:val="en-GB"/>
        </w:rPr>
      </w:pPr>
      <w:r w:rsidRPr="00BE3533">
        <w:rPr>
          <w:lang w:val="en-GB"/>
        </w:rPr>
        <w:t>13=Immunophenotyping</w:t>
      </w:r>
    </w:p>
    <w:p w14:paraId="2CF2D737" w14:textId="696ED977" w:rsidR="00A312DE" w:rsidRPr="00BE3533" w:rsidRDefault="009024D9" w:rsidP="009024D9">
      <w:pPr>
        <w:pStyle w:val="ListParagraph"/>
        <w:ind w:left="2608"/>
        <w:rPr>
          <w:lang w:val="en-GB"/>
        </w:rPr>
      </w:pPr>
      <w:r w:rsidRPr="00BE3533">
        <w:rPr>
          <w:lang w:val="en-GB"/>
        </w:rPr>
        <w:t>14=Cell morphology, haematology</w:t>
      </w:r>
    </w:p>
    <w:p w14:paraId="7B3716A5" w14:textId="0D3AC0DD" w:rsidR="008F7DE4" w:rsidRPr="00BE3533" w:rsidRDefault="009024D9" w:rsidP="009024D9">
      <w:pPr>
        <w:pStyle w:val="ListParagraph"/>
        <w:ind w:left="2608"/>
        <w:rPr>
          <w:lang w:val="en-GB"/>
        </w:rPr>
      </w:pPr>
      <w:r w:rsidRPr="00BE3533">
        <w:rPr>
          <w:lang w:val="en-GB"/>
        </w:rPr>
        <w:t>15=Cytogenetics.</w:t>
      </w:r>
    </w:p>
    <w:p w14:paraId="0B6CA497" w14:textId="4AC6F6BC" w:rsidR="00D73C38" w:rsidRPr="00BE3533" w:rsidRDefault="009024D9" w:rsidP="009024D9">
      <w:pPr>
        <w:pStyle w:val="ListParagraph"/>
        <w:numPr>
          <w:ilvl w:val="0"/>
          <w:numId w:val="2"/>
        </w:numPr>
        <w:rPr>
          <w:lang w:val="en-GB"/>
        </w:rPr>
      </w:pPr>
      <w:r w:rsidRPr="00BE3533">
        <w:rPr>
          <w:lang w:val="en-GB"/>
        </w:rPr>
        <w:t>Information on the spread of the cancer/tumour at diagnosis is reported according to one of the following:</w:t>
      </w:r>
    </w:p>
    <w:p w14:paraId="61F2F704" w14:textId="08561D27" w:rsidR="00D73C38" w:rsidRPr="00BE3533" w:rsidRDefault="009024D9" w:rsidP="009024D9">
      <w:pPr>
        <w:pStyle w:val="ListParagraph"/>
        <w:numPr>
          <w:ilvl w:val="1"/>
          <w:numId w:val="2"/>
        </w:numPr>
        <w:rPr>
          <w:lang w:val="en-GB"/>
        </w:rPr>
      </w:pPr>
      <w:r w:rsidRPr="00BE3533">
        <w:rPr>
          <w:lang w:val="en-GB"/>
        </w:rPr>
        <w:t xml:space="preserve">the organ-specific TNM classification (separate variables for T, N and M codes, see Excel appendix with </w:t>
      </w:r>
      <w:r w:rsidR="00BE3533" w:rsidRPr="00BE3533">
        <w:rPr>
          <w:lang w:val="en-GB"/>
        </w:rPr>
        <w:t>parameters</w:t>
      </w:r>
      <w:r w:rsidRPr="00BE3533">
        <w:rPr>
          <w:lang w:val="en-GB"/>
        </w:rPr>
        <w:t>) OR</w:t>
      </w:r>
      <w:r w:rsidR="008F7DE4" w:rsidRPr="00BE3533">
        <w:rPr>
          <w:lang w:val="en-GB"/>
        </w:rPr>
        <w:t xml:space="preserve"> </w:t>
      </w:r>
    </w:p>
    <w:p w14:paraId="40FB3D34" w14:textId="72C37889" w:rsidR="00D73C38" w:rsidRPr="00BE3533" w:rsidRDefault="009024D9" w:rsidP="009024D9">
      <w:pPr>
        <w:pStyle w:val="ListParagraph"/>
        <w:numPr>
          <w:ilvl w:val="1"/>
          <w:numId w:val="2"/>
        </w:numPr>
        <w:rPr>
          <w:lang w:val="en-GB"/>
        </w:rPr>
      </w:pPr>
      <w:r w:rsidRPr="00BE3533">
        <w:rPr>
          <w:lang w:val="en-GB"/>
        </w:rPr>
        <w:t xml:space="preserve">the verbal code set indicating stage (see Excel appendix with </w:t>
      </w:r>
      <w:r w:rsidR="00BE3533" w:rsidRPr="00BE3533">
        <w:rPr>
          <w:lang w:val="en-GB"/>
        </w:rPr>
        <w:t>parameters</w:t>
      </w:r>
      <w:r w:rsidRPr="00BE3533">
        <w:rPr>
          <w:lang w:val="en-GB"/>
        </w:rPr>
        <w:t>) OR</w:t>
      </w:r>
    </w:p>
    <w:p w14:paraId="0167CB30" w14:textId="6008ECD5" w:rsidR="008F7DE4" w:rsidRPr="00BE3533" w:rsidRDefault="009024D9" w:rsidP="009024D9">
      <w:pPr>
        <w:pStyle w:val="ListParagraph"/>
        <w:numPr>
          <w:ilvl w:val="1"/>
          <w:numId w:val="2"/>
        </w:numPr>
        <w:rPr>
          <w:lang w:val="en-GB"/>
        </w:rPr>
      </w:pPr>
      <w:r w:rsidRPr="00BE3533">
        <w:rPr>
          <w:lang w:val="en-GB"/>
        </w:rPr>
        <w:t xml:space="preserve">the organ-specific stage classification (see Excel appendix with </w:t>
      </w:r>
      <w:r w:rsidR="00BE3533" w:rsidRPr="00BE3533">
        <w:rPr>
          <w:lang w:val="en-GB"/>
        </w:rPr>
        <w:t>parameters</w:t>
      </w:r>
      <w:r w:rsidRPr="00BE3533">
        <w:rPr>
          <w:lang w:val="en-GB"/>
        </w:rPr>
        <w:t>)</w:t>
      </w:r>
    </w:p>
    <w:p w14:paraId="2EA8CAF6" w14:textId="30A33537" w:rsidR="000C010B" w:rsidRPr="00BE3533" w:rsidRDefault="009024D9" w:rsidP="009024D9">
      <w:pPr>
        <w:pStyle w:val="ListParagraph"/>
        <w:numPr>
          <w:ilvl w:val="1"/>
          <w:numId w:val="2"/>
        </w:numPr>
        <w:rPr>
          <w:lang w:val="en-GB"/>
        </w:rPr>
      </w:pPr>
      <w:r w:rsidRPr="00BE3533">
        <w:rPr>
          <w:lang w:val="en-GB"/>
        </w:rPr>
        <w:t xml:space="preserve">the organ-specific Stage Ann Arbor classification (see Excel appendix with </w:t>
      </w:r>
      <w:r w:rsidR="00BE3533" w:rsidRPr="00BE3533">
        <w:rPr>
          <w:lang w:val="en-GB"/>
        </w:rPr>
        <w:t>parameters</w:t>
      </w:r>
      <w:r w:rsidRPr="00BE3533">
        <w:rPr>
          <w:lang w:val="en-GB"/>
        </w:rPr>
        <w:t>).</w:t>
      </w:r>
    </w:p>
    <w:p w14:paraId="1363136B" w14:textId="33C59584" w:rsidR="00554750" w:rsidRPr="00BE3533" w:rsidRDefault="009024D9" w:rsidP="009024D9">
      <w:pPr>
        <w:pStyle w:val="ListParagraph"/>
        <w:numPr>
          <w:ilvl w:val="0"/>
          <w:numId w:val="2"/>
        </w:numPr>
        <w:spacing w:line="256" w:lineRule="auto"/>
        <w:rPr>
          <w:lang w:val="en-GB"/>
        </w:rPr>
      </w:pPr>
      <w:r w:rsidRPr="00BE3533">
        <w:rPr>
          <w:lang w:val="en-GB"/>
        </w:rPr>
        <w:t>The tumour grading system follows the classification given in the Excel appendix according to the tab ‘Gradus’.</w:t>
      </w:r>
    </w:p>
    <w:sectPr w:rsidR="00554750" w:rsidRPr="00BE3533">
      <w:headerReference w:type="default" r:id="rId7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94087" w14:textId="77777777" w:rsidR="00C8004C" w:rsidRDefault="00C8004C">
      <w:pPr>
        <w:spacing w:after="0" w:line="240" w:lineRule="auto"/>
      </w:pPr>
      <w:r>
        <w:separator/>
      </w:r>
    </w:p>
  </w:endnote>
  <w:endnote w:type="continuationSeparator" w:id="0">
    <w:p w14:paraId="3E7B2E8B" w14:textId="77777777" w:rsidR="00C8004C" w:rsidRDefault="00C80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BCDB" w14:textId="77777777" w:rsidR="00C8004C" w:rsidRDefault="00C8004C">
      <w:pPr>
        <w:spacing w:after="0" w:line="240" w:lineRule="auto"/>
      </w:pPr>
      <w:r>
        <w:separator/>
      </w:r>
    </w:p>
  </w:footnote>
  <w:footnote w:type="continuationSeparator" w:id="0">
    <w:p w14:paraId="306421EB" w14:textId="77777777" w:rsidR="00C8004C" w:rsidRDefault="00C80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19A0B" w14:textId="6A92669B" w:rsidR="00A20626" w:rsidRDefault="008F7DE4" w:rsidP="00B56044">
    <w:pPr>
      <w:pStyle w:val="Header"/>
    </w:pPr>
    <w:r>
      <w:rPr>
        <w:noProof/>
        <w:lang w:eastAsia="fi-FI"/>
      </w:rPr>
      <w:drawing>
        <wp:inline distT="0" distB="0" distL="0" distR="0" wp14:anchorId="275D0EDD" wp14:editId="38100668">
          <wp:extent cx="1424940" cy="414655"/>
          <wp:effectExtent l="0" t="0" r="3810" b="4445"/>
          <wp:docPr id="1" name="Picture 1" descr="CANCER_tau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CANCER_taus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A20626">
      <w:t>01.09.2023</w:t>
    </w:r>
  </w:p>
  <w:p w14:paraId="291F63D3" w14:textId="77777777" w:rsidR="00A20626" w:rsidRDefault="00A206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D67EE"/>
    <w:multiLevelType w:val="hybridMultilevel"/>
    <w:tmpl w:val="84C049C4"/>
    <w:lvl w:ilvl="0" w:tplc="2B5479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E00073"/>
    <w:multiLevelType w:val="hybridMultilevel"/>
    <w:tmpl w:val="59BCD7EC"/>
    <w:lvl w:ilvl="0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61970540">
    <w:abstractNumId w:val="0"/>
  </w:num>
  <w:num w:numId="2" w16cid:durableId="1512066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DE4"/>
    <w:rsid w:val="00004C86"/>
    <w:rsid w:val="00041718"/>
    <w:rsid w:val="0009597D"/>
    <w:rsid w:val="000C010B"/>
    <w:rsid w:val="00211498"/>
    <w:rsid w:val="00252501"/>
    <w:rsid w:val="002B06E3"/>
    <w:rsid w:val="002B66E2"/>
    <w:rsid w:val="002D299E"/>
    <w:rsid w:val="002E407B"/>
    <w:rsid w:val="003507DC"/>
    <w:rsid w:val="0038799E"/>
    <w:rsid w:val="003C7BFE"/>
    <w:rsid w:val="003D7209"/>
    <w:rsid w:val="00423DF6"/>
    <w:rsid w:val="00430EDA"/>
    <w:rsid w:val="004862BD"/>
    <w:rsid w:val="00493513"/>
    <w:rsid w:val="004C69AA"/>
    <w:rsid w:val="00512182"/>
    <w:rsid w:val="005311A8"/>
    <w:rsid w:val="00554750"/>
    <w:rsid w:val="0056189F"/>
    <w:rsid w:val="00640F5E"/>
    <w:rsid w:val="00676765"/>
    <w:rsid w:val="00706EB4"/>
    <w:rsid w:val="0076438D"/>
    <w:rsid w:val="007C00D5"/>
    <w:rsid w:val="007E779D"/>
    <w:rsid w:val="007F55DB"/>
    <w:rsid w:val="00857133"/>
    <w:rsid w:val="00893856"/>
    <w:rsid w:val="008F7DE4"/>
    <w:rsid w:val="009024D9"/>
    <w:rsid w:val="009075D6"/>
    <w:rsid w:val="00912F69"/>
    <w:rsid w:val="0095367D"/>
    <w:rsid w:val="009A73EC"/>
    <w:rsid w:val="009E08DF"/>
    <w:rsid w:val="00A13EBB"/>
    <w:rsid w:val="00A20626"/>
    <w:rsid w:val="00A25EA2"/>
    <w:rsid w:val="00A312DE"/>
    <w:rsid w:val="00A43856"/>
    <w:rsid w:val="00AD1F23"/>
    <w:rsid w:val="00BA1F23"/>
    <w:rsid w:val="00BD5DC1"/>
    <w:rsid w:val="00BE3533"/>
    <w:rsid w:val="00BF080A"/>
    <w:rsid w:val="00C04F48"/>
    <w:rsid w:val="00C142A7"/>
    <w:rsid w:val="00C56FBC"/>
    <w:rsid w:val="00C8004C"/>
    <w:rsid w:val="00D04F0F"/>
    <w:rsid w:val="00D73C38"/>
    <w:rsid w:val="00DA0B40"/>
    <w:rsid w:val="00DC76AC"/>
    <w:rsid w:val="00DF579E"/>
    <w:rsid w:val="00E35852"/>
    <w:rsid w:val="00E90721"/>
    <w:rsid w:val="00EB2EB9"/>
    <w:rsid w:val="00ED4BC3"/>
    <w:rsid w:val="00F16197"/>
    <w:rsid w:val="00F325AE"/>
    <w:rsid w:val="00F6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8A944"/>
  <w15:chartTrackingRefBased/>
  <w15:docId w15:val="{2806AAB9-86C7-423D-83EB-E36359B04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i-FI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DE4"/>
    <w:pPr>
      <w:spacing w:after="160" w:line="259" w:lineRule="auto"/>
    </w:pPr>
    <w:rPr>
      <w:rFonts w:eastAsiaTheme="minorHAnsi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7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7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8F7D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7D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7DE4"/>
    <w:rPr>
      <w:rFonts w:eastAsiaTheme="minorHAnsi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8F7D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F7D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5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EA2"/>
    <w:rPr>
      <w:rFonts w:ascii="Segoe UI" w:eastAsiaTheme="minorHAnsi" w:hAnsi="Segoe UI" w:cs="Segoe UI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25E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5EA2"/>
    <w:rPr>
      <w:rFonts w:eastAsiaTheme="minorHAnsi"/>
      <w:lang w:eastAsia="en-US"/>
    </w:rPr>
  </w:style>
  <w:style w:type="paragraph" w:styleId="Revision">
    <w:name w:val="Revision"/>
    <w:hidden/>
    <w:uiPriority w:val="99"/>
    <w:semiHidden/>
    <w:rsid w:val="007C00D5"/>
    <w:pPr>
      <w:spacing w:after="0" w:line="240" w:lineRule="auto"/>
    </w:pPr>
    <w:rPr>
      <w:rFonts w:eastAsiaTheme="minorHAns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F55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55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55DB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5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5DB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477</Words>
  <Characters>3866</Characters>
  <Application>Microsoft Office Word</Application>
  <DocSecurity>0</DocSecurity>
  <Lines>32</Lines>
  <Paragraphs>8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Suomen Syopayhdistys ry</Company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Henna Degerlund</dc:creator>
  <cp:keywords/>
  <dc:description/>
  <cp:lastModifiedBy>Katja Lehtinen</cp:lastModifiedBy>
  <cp:revision>9</cp:revision>
  <dcterms:created xsi:type="dcterms:W3CDTF">2023-07-25T19:32:00Z</dcterms:created>
  <dcterms:modified xsi:type="dcterms:W3CDTF">2023-08-28T12:54:00Z</dcterms:modified>
</cp:coreProperties>
</file>