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FFA33" w14:textId="303543A5" w:rsidR="00D32C30" w:rsidRPr="00BE7235" w:rsidRDefault="000A3C51" w:rsidP="000A3C51">
      <w:pPr>
        <w:spacing w:after="225" w:line="270" w:lineRule="atLeast"/>
        <w:textAlignment w:val="baseline"/>
        <w:rPr>
          <w:rFonts w:eastAsia="Times New Roman" w:cs="Times New Roman"/>
          <w:b/>
          <w:sz w:val="28"/>
          <w:szCs w:val="28"/>
          <w:lang w:val="en-US" w:eastAsia="fi-FI"/>
        </w:rPr>
      </w:pPr>
      <w:r w:rsidRPr="00A64F10">
        <w:rPr>
          <w:rFonts w:eastAsia="Times New Roman" w:cs="Times New Roman"/>
          <w:b/>
          <w:sz w:val="28"/>
          <w:szCs w:val="28"/>
          <w:lang w:val="en-GB" w:eastAsia="fi-FI"/>
        </w:rPr>
        <w:t>When to make a clinical cancer notification</w:t>
      </w:r>
    </w:p>
    <w:p w14:paraId="376B5EA5" w14:textId="324B2A97" w:rsidR="00D32C30" w:rsidRPr="00BE7235" w:rsidRDefault="000A3C51" w:rsidP="000A3C51">
      <w:pPr>
        <w:spacing w:after="225" w:line="270" w:lineRule="atLeast"/>
        <w:textAlignment w:val="baseline"/>
        <w:rPr>
          <w:rFonts w:eastAsia="Times New Roman" w:cs="Times New Roman"/>
          <w:bCs/>
          <w:lang w:val="en-US" w:eastAsia="fi-FI"/>
        </w:rPr>
      </w:pPr>
      <w:r w:rsidRPr="00A64F10">
        <w:rPr>
          <w:rFonts w:eastAsia="Times New Roman" w:cs="Times New Roman"/>
          <w:bCs/>
          <w:lang w:val="en-GB" w:eastAsia="fi-FI"/>
        </w:rPr>
        <w:t>A clinical cancer notification to the Cancer Registry shall be made on all patients diagnosed with a malignant tumour or a comparable disease or patients with a strong suspicion of such a diagnosis.</w:t>
      </w:r>
    </w:p>
    <w:p w14:paraId="61CE0FC8" w14:textId="6EC7080D" w:rsidR="00EE0F78" w:rsidRPr="00BE7235" w:rsidRDefault="00A56BAB" w:rsidP="00A56BAB">
      <w:pPr>
        <w:spacing w:after="160" w:line="259" w:lineRule="auto"/>
        <w:rPr>
          <w:lang w:val="en-US"/>
        </w:rPr>
      </w:pPr>
      <w:r w:rsidRPr="00A64F10">
        <w:rPr>
          <w:lang w:val="en-GB"/>
        </w:rPr>
        <w:t>All new cancer cases and certain other tumours and tumour-like conditions shall be reported to the Cancer Registry.</w:t>
      </w:r>
      <w:r w:rsidR="00D32C30" w:rsidRPr="00BE7235">
        <w:rPr>
          <w:lang w:val="en-US"/>
        </w:rPr>
        <w:t xml:space="preserve"> </w:t>
      </w:r>
      <w:r w:rsidRPr="00A64F10">
        <w:rPr>
          <w:lang w:val="en-GB"/>
        </w:rPr>
        <w:t>The diagnoses to be reported are all codes that start with C, D00–09, D32–33, D37–D48 and D76.0 (THL – Classification of Diseases ICD-10).</w:t>
      </w:r>
    </w:p>
    <w:p w14:paraId="5C00D620" w14:textId="095317E2" w:rsidR="00EE0F78" w:rsidRPr="00A64F10" w:rsidRDefault="00A56BAB" w:rsidP="00A56BAB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232726"/>
          <w:lang w:eastAsia="zh-CN"/>
        </w:rPr>
      </w:pPr>
      <w:r w:rsidRPr="00A64F10">
        <w:rPr>
          <w:rFonts w:eastAsia="Times New Roman" w:cstheme="minorHAnsi"/>
          <w:lang w:val="en-GB" w:eastAsia="zh-CN"/>
        </w:rPr>
        <w:t>Notify the following:</w:t>
      </w:r>
    </w:p>
    <w:p w14:paraId="17D3F23A" w14:textId="1C0A438A" w:rsidR="001C7C83" w:rsidRPr="00A64F10" w:rsidRDefault="00A56BAB" w:rsidP="00A56B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32726"/>
          <w:lang w:eastAsia="fi-FI"/>
        </w:rPr>
      </w:pPr>
      <w:bookmarkStart w:id="0" w:name="_Hlk134619968"/>
      <w:r w:rsidRPr="00A64F10">
        <w:rPr>
          <w:rFonts w:eastAsia="Times New Roman" w:cstheme="minorHAnsi"/>
          <w:lang w:val="en-GB" w:eastAsia="fi-FI"/>
        </w:rPr>
        <w:t>All malignant (invasive) tumours and conditions, including malignant blood diseases.</w:t>
      </w:r>
      <w:r w:rsidR="001C7C83" w:rsidRPr="00BE7235">
        <w:rPr>
          <w:rFonts w:eastAsia="Times New Roman" w:cstheme="minorHAnsi"/>
          <w:color w:val="232726"/>
          <w:lang w:val="en-US" w:eastAsia="fi-FI"/>
        </w:rPr>
        <w:t xml:space="preserve"> </w:t>
      </w:r>
      <w:bookmarkEnd w:id="0"/>
      <w:r w:rsidRPr="00A64F10">
        <w:rPr>
          <w:rFonts w:eastAsia="Times New Roman" w:cstheme="minorHAnsi"/>
          <w:lang w:val="en-GB" w:eastAsia="fi-FI"/>
        </w:rPr>
        <w:t>Clinical notifications are not requested for basal cell carcinoma.</w:t>
      </w:r>
    </w:p>
    <w:p w14:paraId="16CC66FC" w14:textId="3B376228" w:rsidR="0090254B" w:rsidRPr="00BE7235" w:rsidRDefault="00A56BAB" w:rsidP="00A56BAB">
      <w:pPr>
        <w:pStyle w:val="ListParagraph"/>
        <w:numPr>
          <w:ilvl w:val="0"/>
          <w:numId w:val="2"/>
        </w:numPr>
        <w:rPr>
          <w:lang w:val="en-US" w:eastAsia="zh-CN"/>
        </w:rPr>
      </w:pPr>
      <w:bookmarkStart w:id="1" w:name="_Hlk134619998"/>
      <w:r w:rsidRPr="00A64F10">
        <w:rPr>
          <w:lang w:val="en-GB" w:eastAsia="zh-CN"/>
        </w:rPr>
        <w:t xml:space="preserve">All tumours of the brain and the central </w:t>
      </w:r>
      <w:r w:rsidR="009E0907" w:rsidRPr="00A64F10">
        <w:rPr>
          <w:lang w:val="en-GB" w:eastAsia="zh-CN"/>
        </w:rPr>
        <w:t>nervous</w:t>
      </w:r>
      <w:r w:rsidRPr="00A64F10">
        <w:rPr>
          <w:lang w:val="en-GB" w:eastAsia="zh-CN"/>
        </w:rPr>
        <w:t xml:space="preserve"> system, also benign tumours</w:t>
      </w:r>
    </w:p>
    <w:p w14:paraId="6DE1F9FD" w14:textId="7021A037" w:rsidR="001C7C83" w:rsidRPr="00BE7235" w:rsidRDefault="00A56BAB" w:rsidP="00A56BAB">
      <w:pPr>
        <w:pStyle w:val="ListParagraph"/>
        <w:numPr>
          <w:ilvl w:val="0"/>
          <w:numId w:val="2"/>
        </w:numPr>
        <w:rPr>
          <w:lang w:val="en-US" w:eastAsia="zh-CN"/>
        </w:rPr>
      </w:pPr>
      <w:r w:rsidRPr="00A64F10">
        <w:rPr>
          <w:lang w:val="en-GB" w:eastAsia="fi-FI"/>
        </w:rPr>
        <w:t>In situ cancers, HSIL, high-grade dysplasia and dysplasia gravis.</w:t>
      </w:r>
      <w:r w:rsidR="001C7C83" w:rsidRPr="00BE7235">
        <w:rPr>
          <w:color w:val="232726"/>
          <w:lang w:val="en-US" w:eastAsia="fi-FI"/>
        </w:rPr>
        <w:t xml:space="preserve"> </w:t>
      </w:r>
      <w:r w:rsidRPr="00A64F10">
        <w:rPr>
          <w:lang w:val="en-GB" w:eastAsia="fi-FI"/>
        </w:rPr>
        <w:t>For in situ skin cancers, only melanoma in situ is reported.</w:t>
      </w:r>
      <w:r w:rsidR="001C7C83" w:rsidRPr="00BE7235">
        <w:rPr>
          <w:lang w:val="en-US" w:eastAsia="fi-FI"/>
        </w:rPr>
        <w:t xml:space="preserve"> </w:t>
      </w:r>
      <w:bookmarkEnd w:id="1"/>
      <w:r w:rsidRPr="00A64F10">
        <w:rPr>
          <w:lang w:val="en-GB" w:eastAsia="fi-FI"/>
        </w:rPr>
        <w:t>Clinical notifications are not requested for cases of HSIL or dysplasia.</w:t>
      </w:r>
    </w:p>
    <w:p w14:paraId="16E09810" w14:textId="3B3B8ACF" w:rsidR="00EE0F78" w:rsidRPr="00BE7235" w:rsidRDefault="00A56BAB" w:rsidP="00A56BAB">
      <w:pPr>
        <w:pStyle w:val="ListParagraph"/>
        <w:numPr>
          <w:ilvl w:val="0"/>
          <w:numId w:val="2"/>
        </w:numPr>
        <w:rPr>
          <w:lang w:val="en-US" w:eastAsia="zh-CN"/>
        </w:rPr>
      </w:pPr>
      <w:bookmarkStart w:id="2" w:name="_Hlk134620011"/>
      <w:r w:rsidRPr="00A64F10">
        <w:rPr>
          <w:lang w:val="en-GB" w:eastAsia="zh-CN"/>
        </w:rPr>
        <w:t>Borderline tumours of the ovaries, fallopian tubes, uterin</w:t>
      </w:r>
      <w:r w:rsidR="009E0907">
        <w:rPr>
          <w:lang w:val="en-GB" w:eastAsia="zh-CN"/>
        </w:rPr>
        <w:t>e</w:t>
      </w:r>
      <w:r w:rsidRPr="00A64F10">
        <w:rPr>
          <w:lang w:val="en-GB" w:eastAsia="zh-CN"/>
        </w:rPr>
        <w:t xml:space="preserve"> </w:t>
      </w:r>
      <w:proofErr w:type="gramStart"/>
      <w:r w:rsidRPr="00A64F10">
        <w:rPr>
          <w:lang w:val="en-GB" w:eastAsia="zh-CN"/>
        </w:rPr>
        <w:t>appendages</w:t>
      </w:r>
      <w:proofErr w:type="gramEnd"/>
      <w:r w:rsidRPr="00A64F10">
        <w:rPr>
          <w:lang w:val="en-GB" w:eastAsia="zh-CN"/>
        </w:rPr>
        <w:t xml:space="preserve"> and peritoneum.</w:t>
      </w:r>
    </w:p>
    <w:p w14:paraId="41365123" w14:textId="4FAB4020" w:rsidR="00EE0F78" w:rsidRPr="00BE7235" w:rsidRDefault="00A56BAB" w:rsidP="00A56BAB">
      <w:pPr>
        <w:pStyle w:val="ListParagraph"/>
        <w:numPr>
          <w:ilvl w:val="0"/>
          <w:numId w:val="2"/>
        </w:numPr>
        <w:rPr>
          <w:lang w:val="en-US" w:eastAsia="zh-CN"/>
        </w:rPr>
      </w:pPr>
      <w:bookmarkStart w:id="3" w:name="_Hlk134620024"/>
      <w:bookmarkEnd w:id="2"/>
      <w:r w:rsidRPr="00A64F10">
        <w:rPr>
          <w:lang w:val="en-GB" w:eastAsia="zh-CN"/>
        </w:rPr>
        <w:t>Other tumours previously classified with unclear malignancy such as neuroendocrine tumours, GIST (regardless of grade), myelofibrosis, myeloproliferative disorders, polycyth</w:t>
      </w:r>
      <w:r w:rsidR="009E0907">
        <w:rPr>
          <w:lang w:val="en-GB" w:eastAsia="zh-CN"/>
        </w:rPr>
        <w:t>a</w:t>
      </w:r>
      <w:r w:rsidRPr="00A64F10">
        <w:rPr>
          <w:lang w:val="en-GB" w:eastAsia="zh-CN"/>
        </w:rPr>
        <w:t>emia vera, Waldenström macroglobulinemia, thymoma, pheochromocytoma and other paragangliomas and teratoma</w:t>
      </w:r>
      <w:r w:rsidR="00BE7235">
        <w:rPr>
          <w:lang w:val="en-GB" w:eastAsia="zh-CN"/>
        </w:rPr>
        <w:t>.</w:t>
      </w:r>
    </w:p>
    <w:bookmarkEnd w:id="3"/>
    <w:p w14:paraId="2D22F0F7" w14:textId="27BB2546" w:rsidR="003C04AD" w:rsidRPr="00BE7235" w:rsidRDefault="00F4182D" w:rsidP="00F4182D">
      <w:pPr>
        <w:pStyle w:val="ListParagraph"/>
        <w:numPr>
          <w:ilvl w:val="0"/>
          <w:numId w:val="2"/>
        </w:numPr>
        <w:rPr>
          <w:lang w:val="en-US" w:eastAsia="zh-CN"/>
        </w:rPr>
      </w:pPr>
      <w:r w:rsidRPr="00A64F10">
        <w:rPr>
          <w:lang w:val="en-GB" w:eastAsia="zh-CN"/>
        </w:rPr>
        <w:t>A</w:t>
      </w:r>
      <w:r w:rsidR="00A56BAB" w:rsidRPr="00A64F10">
        <w:rPr>
          <w:lang w:val="en-GB" w:eastAsia="zh-CN"/>
        </w:rPr>
        <w:t xml:space="preserve"> strong suspicion of cancer, even if there is no microscopic confirmation.</w:t>
      </w:r>
    </w:p>
    <w:p w14:paraId="7D2401A3" w14:textId="4CDCDA30" w:rsidR="00554750" w:rsidRPr="00BE7235" w:rsidRDefault="00F4182D" w:rsidP="004C015D">
      <w:pPr>
        <w:rPr>
          <w:lang w:val="en-US"/>
        </w:rPr>
      </w:pPr>
      <w:r w:rsidRPr="00A64F10">
        <w:rPr>
          <w:lang w:val="en-GB"/>
        </w:rPr>
        <w:t>A clinical cancer notification is made for a new cancer or tumour when the disease is detected.</w:t>
      </w:r>
      <w:r w:rsidR="00897D5A" w:rsidRPr="00BE7235">
        <w:rPr>
          <w:lang w:val="en-US"/>
        </w:rPr>
        <w:t xml:space="preserve"> </w:t>
      </w:r>
      <w:r w:rsidRPr="00A64F10">
        <w:rPr>
          <w:lang w:val="en-GB"/>
        </w:rPr>
        <w:t>The notification is submitted to the Cancer Registry once the information has been verified.</w:t>
      </w:r>
      <w:r w:rsidR="001B28D2" w:rsidRPr="00BE7235">
        <w:rPr>
          <w:lang w:val="en-US"/>
        </w:rPr>
        <w:t xml:space="preserve"> </w:t>
      </w:r>
      <w:r w:rsidRPr="00A64F10">
        <w:rPr>
          <w:lang w:val="en-GB"/>
        </w:rPr>
        <w:t>If necessary, information may be edited or deleted afterwards.</w:t>
      </w:r>
      <w:r w:rsidR="00DE21D9" w:rsidRPr="00BE7235">
        <w:rPr>
          <w:lang w:val="en-US"/>
        </w:rPr>
        <w:t xml:space="preserve"> </w:t>
      </w:r>
      <w:r w:rsidRPr="00A64F10">
        <w:rPr>
          <w:lang w:val="en-GB"/>
        </w:rPr>
        <w:t>A notification is made if it is not known whether a notification has yet been made.</w:t>
      </w:r>
      <w:r w:rsidR="001B28D2" w:rsidRPr="00BE7235">
        <w:rPr>
          <w:lang w:val="en-US"/>
        </w:rPr>
        <w:t xml:space="preserve"> </w:t>
      </w:r>
      <w:r w:rsidRPr="00A64F10">
        <w:rPr>
          <w:lang w:val="en-GB"/>
        </w:rPr>
        <w:t>The clinical cancer notification indicates the primary disease and the</w:t>
      </w:r>
      <w:r w:rsidR="004C015D" w:rsidRPr="00A64F10">
        <w:rPr>
          <w:lang w:val="en-GB"/>
        </w:rPr>
        <w:t xml:space="preserve"> </w:t>
      </w:r>
      <w:r w:rsidRPr="00A64F10">
        <w:rPr>
          <w:lang w:val="en-GB"/>
        </w:rPr>
        <w:t xml:space="preserve">stage </w:t>
      </w:r>
      <w:r w:rsidR="004C015D" w:rsidRPr="00A64F10">
        <w:rPr>
          <w:lang w:val="en-GB"/>
        </w:rPr>
        <w:t>at diagnosis</w:t>
      </w:r>
      <w:r w:rsidRPr="00A64F10">
        <w:rPr>
          <w:lang w:val="en-GB"/>
        </w:rPr>
        <w:t>.</w:t>
      </w:r>
      <w:r w:rsidR="003C04AD" w:rsidRPr="00BE7235">
        <w:rPr>
          <w:lang w:val="en-US"/>
        </w:rPr>
        <w:t xml:space="preserve"> </w:t>
      </w:r>
      <w:r w:rsidR="004C015D" w:rsidRPr="00A64F10">
        <w:rPr>
          <w:lang w:val="en-GB"/>
        </w:rPr>
        <w:t>Metastases (C77–C79) do not need to be reported separately if the primary cancer is reported.</w:t>
      </w:r>
      <w:r w:rsidR="00F11D96" w:rsidRPr="00BE7235">
        <w:rPr>
          <w:lang w:val="en-US"/>
        </w:rPr>
        <w:t xml:space="preserve"> </w:t>
      </w:r>
      <w:r w:rsidR="004C015D" w:rsidRPr="00A64F10">
        <w:rPr>
          <w:lang w:val="en-GB"/>
        </w:rPr>
        <w:t>For metastases, it is important to indicate which primary cancer metastases are involved.</w:t>
      </w:r>
      <w:r w:rsidR="00535462" w:rsidRPr="00BE7235">
        <w:rPr>
          <w:lang w:val="en-US"/>
        </w:rPr>
        <w:t xml:space="preserve"> </w:t>
      </w:r>
      <w:r w:rsidR="004C015D" w:rsidRPr="00A64F10">
        <w:rPr>
          <w:lang w:val="en-GB"/>
        </w:rPr>
        <w:t>If the primary cancer is not known, enter the code C80 (</w:t>
      </w:r>
      <w:r w:rsidR="00BE7235" w:rsidRPr="00BE7235">
        <w:rPr>
          <w:i/>
          <w:iCs/>
          <w:lang w:val="en-US"/>
        </w:rPr>
        <w:t xml:space="preserve">THL </w:t>
      </w:r>
      <w:proofErr w:type="spellStart"/>
      <w:r w:rsidR="00BE7235" w:rsidRPr="00BE7235">
        <w:rPr>
          <w:i/>
          <w:iCs/>
          <w:lang w:val="en-US"/>
        </w:rPr>
        <w:t>Tautiluokitus</w:t>
      </w:r>
      <w:proofErr w:type="spellEnd"/>
      <w:r w:rsidR="00BE7235" w:rsidRPr="00BE7235">
        <w:rPr>
          <w:i/>
          <w:iCs/>
          <w:lang w:val="en-US"/>
        </w:rPr>
        <w:t xml:space="preserve"> ICD-10</w:t>
      </w:r>
      <w:r w:rsidR="00BE7235">
        <w:rPr>
          <w:i/>
          <w:iCs/>
          <w:lang w:val="en-US"/>
        </w:rPr>
        <w:t xml:space="preserve"> / </w:t>
      </w:r>
      <w:r w:rsidR="004C015D" w:rsidRPr="00A64F10">
        <w:rPr>
          <w:i/>
          <w:iCs/>
          <w:lang w:val="en-GB"/>
        </w:rPr>
        <w:t>THL classification of diseases ICD-10</w:t>
      </w:r>
      <w:r w:rsidR="004C015D" w:rsidRPr="00A64F10">
        <w:rPr>
          <w:lang w:val="en-GB"/>
        </w:rPr>
        <w:t>).</w:t>
      </w:r>
    </w:p>
    <w:sectPr w:rsidR="00554750" w:rsidRPr="00BE7235">
      <w:headerReference w:type="default" r:id="rId7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6D892" w14:textId="77777777" w:rsidR="007078F0" w:rsidRDefault="007078F0">
      <w:pPr>
        <w:spacing w:after="0" w:line="240" w:lineRule="auto"/>
      </w:pPr>
      <w:r>
        <w:separator/>
      </w:r>
    </w:p>
  </w:endnote>
  <w:endnote w:type="continuationSeparator" w:id="0">
    <w:p w14:paraId="4F037115" w14:textId="77777777" w:rsidR="007078F0" w:rsidRDefault="00707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FC35F" w14:textId="77777777" w:rsidR="007078F0" w:rsidRDefault="007078F0">
      <w:pPr>
        <w:spacing w:after="0" w:line="240" w:lineRule="auto"/>
      </w:pPr>
      <w:r>
        <w:separator/>
      </w:r>
    </w:p>
  </w:footnote>
  <w:footnote w:type="continuationSeparator" w:id="0">
    <w:p w14:paraId="69787808" w14:textId="77777777" w:rsidR="007078F0" w:rsidRDefault="00707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9A5A5" w14:textId="018EE9DB" w:rsidR="006A2951" w:rsidRDefault="00EE0F78" w:rsidP="009343DC">
    <w:pPr>
      <w:pStyle w:val="Header"/>
    </w:pPr>
    <w:r>
      <w:rPr>
        <w:noProof/>
        <w:lang w:eastAsia="fi-FI"/>
      </w:rPr>
      <w:drawing>
        <wp:inline distT="0" distB="0" distL="0" distR="0" wp14:anchorId="69ACF18D" wp14:editId="2ABBA429">
          <wp:extent cx="1424940" cy="414655"/>
          <wp:effectExtent l="0" t="0" r="3810" b="4445"/>
          <wp:docPr id="1" name="Picture 1" descr="CANCER_tau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ANCER_taus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6A2951">
      <w:t>01.09.2023</w:t>
    </w:r>
  </w:p>
  <w:p w14:paraId="45948408" w14:textId="77777777" w:rsidR="006A2951" w:rsidRDefault="006A29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538A"/>
    <w:multiLevelType w:val="hybridMultilevel"/>
    <w:tmpl w:val="53F43AB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80695"/>
    <w:multiLevelType w:val="hybridMultilevel"/>
    <w:tmpl w:val="79B8F184"/>
    <w:lvl w:ilvl="0" w:tplc="444A1C0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03AA0A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2F6248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1564DA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1A360D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4F2A50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9FCA780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94108FB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42647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" w15:restartNumberingAfterBreak="0">
    <w:nsid w:val="35FF28B4"/>
    <w:multiLevelType w:val="multilevel"/>
    <w:tmpl w:val="8A2C3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FD67EE"/>
    <w:multiLevelType w:val="hybridMultilevel"/>
    <w:tmpl w:val="84C049C4"/>
    <w:lvl w:ilvl="0" w:tplc="2B54792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7479395">
    <w:abstractNumId w:val="2"/>
  </w:num>
  <w:num w:numId="2" w16cid:durableId="1822844578">
    <w:abstractNumId w:val="0"/>
  </w:num>
  <w:num w:numId="3" w16cid:durableId="115223763">
    <w:abstractNumId w:val="3"/>
  </w:num>
  <w:num w:numId="4" w16cid:durableId="1364209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F78"/>
    <w:rsid w:val="000360E0"/>
    <w:rsid w:val="000A3C51"/>
    <w:rsid w:val="0010410B"/>
    <w:rsid w:val="0018056C"/>
    <w:rsid w:val="001B28D2"/>
    <w:rsid w:val="001C7C83"/>
    <w:rsid w:val="001E6813"/>
    <w:rsid w:val="00370C05"/>
    <w:rsid w:val="003C04AD"/>
    <w:rsid w:val="003E3B17"/>
    <w:rsid w:val="003F1E5F"/>
    <w:rsid w:val="0043124E"/>
    <w:rsid w:val="004B3A40"/>
    <w:rsid w:val="004C015D"/>
    <w:rsid w:val="00535462"/>
    <w:rsid w:val="005469C4"/>
    <w:rsid w:val="00554750"/>
    <w:rsid w:val="00554C2D"/>
    <w:rsid w:val="005D30E9"/>
    <w:rsid w:val="00601BCD"/>
    <w:rsid w:val="006A2951"/>
    <w:rsid w:val="006D62E7"/>
    <w:rsid w:val="006F18A8"/>
    <w:rsid w:val="006F6CE8"/>
    <w:rsid w:val="007078F0"/>
    <w:rsid w:val="0077188A"/>
    <w:rsid w:val="00781087"/>
    <w:rsid w:val="00821D56"/>
    <w:rsid w:val="00897D5A"/>
    <w:rsid w:val="0090254B"/>
    <w:rsid w:val="009425CF"/>
    <w:rsid w:val="009E0907"/>
    <w:rsid w:val="00A56BAB"/>
    <w:rsid w:val="00A64F10"/>
    <w:rsid w:val="00A83D45"/>
    <w:rsid w:val="00B24371"/>
    <w:rsid w:val="00BE7235"/>
    <w:rsid w:val="00C23984"/>
    <w:rsid w:val="00C64C67"/>
    <w:rsid w:val="00CC59EC"/>
    <w:rsid w:val="00CD0642"/>
    <w:rsid w:val="00D32C30"/>
    <w:rsid w:val="00DE21D9"/>
    <w:rsid w:val="00E133A0"/>
    <w:rsid w:val="00E41C7C"/>
    <w:rsid w:val="00E767DF"/>
    <w:rsid w:val="00EA3253"/>
    <w:rsid w:val="00EB069C"/>
    <w:rsid w:val="00EE0F78"/>
    <w:rsid w:val="00F06332"/>
    <w:rsid w:val="00F11D96"/>
    <w:rsid w:val="00F202EE"/>
    <w:rsid w:val="00F4182D"/>
    <w:rsid w:val="00F668F5"/>
    <w:rsid w:val="00F85EDD"/>
    <w:rsid w:val="00FC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B4E70"/>
  <w15:chartTrackingRefBased/>
  <w15:docId w15:val="{B29E1A19-2DFD-4953-A3EC-50CF981B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F78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0F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F78"/>
    <w:rPr>
      <w:rFonts w:eastAsiaTheme="minorHAns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E0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13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33A0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43124E"/>
    <w:pPr>
      <w:ind w:left="720"/>
      <w:contextualSpacing/>
    </w:pPr>
  </w:style>
  <w:style w:type="paragraph" w:styleId="Revision">
    <w:name w:val="Revision"/>
    <w:hidden/>
    <w:uiPriority w:val="99"/>
    <w:semiHidden/>
    <w:rsid w:val="00821D56"/>
    <w:pPr>
      <w:spacing w:after="0" w:line="240" w:lineRule="auto"/>
    </w:pPr>
    <w:rPr>
      <w:rFonts w:eastAsiaTheme="minorHAns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C04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04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04AD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4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4AD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9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89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53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Suomen Syopayhdistys ry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Henna Degerlund</dc:creator>
  <cp:keywords/>
  <dc:description/>
  <cp:lastModifiedBy>Katja Lehtinen</cp:lastModifiedBy>
  <cp:revision>7</cp:revision>
  <dcterms:created xsi:type="dcterms:W3CDTF">2023-07-24T19:26:00Z</dcterms:created>
  <dcterms:modified xsi:type="dcterms:W3CDTF">2023-08-28T13:03:00Z</dcterms:modified>
</cp:coreProperties>
</file>